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96BB" w14:textId="77777777" w:rsidR="00B84FFD" w:rsidRDefault="00B84FFD" w:rsidP="007332C4">
      <w:pPr>
        <w:shd w:val="clear" w:color="auto" w:fill="8EAADB" w:themeFill="accent1" w:themeFillTint="99"/>
        <w:spacing w:before="120" w:after="120" w:line="240" w:lineRule="auto"/>
        <w:rPr>
          <w:rFonts w:cs="Calibri"/>
          <w:sz w:val="28"/>
          <w:szCs w:val="28"/>
        </w:rPr>
      </w:pPr>
      <w:r>
        <w:rPr>
          <w:rFonts w:cs="Calibri"/>
          <w:sz w:val="28"/>
          <w:szCs w:val="28"/>
        </w:rPr>
        <w:t>RUBRIQUE 1 : IDENTIFICATION DU MÉLANGE ET DE LA SOCIÉTÉ</w:t>
      </w:r>
    </w:p>
    <w:p w14:paraId="4FE564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 Identificateur de produit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84FFD" w14:paraId="46CFFD03" w14:textId="77777777" w:rsidTr="00141466">
        <w:trPr>
          <w:trHeight w:val="330"/>
        </w:trPr>
        <w:tc>
          <w:tcPr>
            <w:tcW w:w="5228" w:type="dxa"/>
          </w:tcPr>
          <w:p w14:paraId="2E53BAC8" w14:textId="77777777" w:rsidR="00B84FFD" w:rsidRDefault="00B84FFD" w:rsidP="00141466">
            <w:pPr>
              <w:spacing w:after="120"/>
              <w:rPr>
                <w:rFonts w:cs="Calibri"/>
              </w:rPr>
            </w:pPr>
            <w:r>
              <w:rPr>
                <w:rFonts w:cs="Calibri"/>
              </w:rPr>
              <w:t>Forme du produit</w:t>
            </w:r>
          </w:p>
        </w:tc>
        <w:tc>
          <w:tcPr>
            <w:tcW w:w="5228" w:type="dxa"/>
          </w:tcPr>
          <w:p w14:paraId="5D314925" w14:textId="77777777" w:rsidR="00B84FFD" w:rsidRDefault="00B84FFD" w:rsidP="00141466">
            <w:pPr>
              <w:spacing w:after="120"/>
              <w:rPr>
                <w:rFonts w:cs="Calibri"/>
              </w:rPr>
            </w:pPr>
            <w:r>
              <w:rPr>
                <w:rFonts w:cs="Calibri"/>
              </w:rPr>
              <w:t>: Mélange</w:t>
            </w:r>
          </w:p>
        </w:tc>
      </w:tr>
      <w:tr w:rsidR="00B84FFD" w14:paraId="592361B2" w14:textId="77777777" w:rsidTr="00141466">
        <w:tc>
          <w:tcPr>
            <w:tcW w:w="5228" w:type="dxa"/>
          </w:tcPr>
          <w:p w14:paraId="342A3D7F" w14:textId="77777777" w:rsidR="00B84FFD" w:rsidRDefault="00B84FFD" w:rsidP="00141466">
            <w:pPr>
              <w:spacing w:after="120"/>
              <w:rPr>
                <w:rFonts w:cs="Calibri"/>
              </w:rPr>
            </w:pPr>
            <w:r>
              <w:rPr>
                <w:rFonts w:cs="Calibri"/>
              </w:rPr>
              <w:t>Nom du produit</w:t>
            </w:r>
          </w:p>
        </w:tc>
        <w:tc>
          <w:tcPr>
            <w:tcW w:w="5228" w:type="dxa"/>
          </w:tcPr>
          <w:p w14:paraId="53861012" w14:textId="53C4BA97" w:rsidR="00B84FFD" w:rsidRDefault="00B84FFD" w:rsidP="00141466">
            <w:pPr>
              <w:spacing w:after="120"/>
              <w:rPr>
                <w:rFonts w:cs="Calibri"/>
              </w:rPr>
            </w:pPr>
            <w:r>
              <w:rPr>
                <w:rFonts w:cs="Calibri"/>
              </w:rPr>
              <w:t xml:space="preserve">: </w:t>
            </w:r>
            <w:r w:rsidR="00E03647">
              <w:t>COULIS EXOTIQUE</w:t>
            </w:r>
            <w:r w:rsidR="000E7AD2">
              <w:rPr>
                <w:rFonts w:cs="Calibri"/>
              </w:rPr>
              <w:t xml:space="preserve"> </w:t>
            </w:r>
            <w:r w:rsidR="00B45857">
              <w:rPr>
                <w:rFonts w:cs="Calibri"/>
              </w:rPr>
              <w:t>10%</w:t>
            </w:r>
          </w:p>
        </w:tc>
      </w:tr>
      <w:tr w:rsidR="00B84FFD" w14:paraId="4E270FE4" w14:textId="77777777" w:rsidTr="00141466">
        <w:tc>
          <w:tcPr>
            <w:tcW w:w="5228" w:type="dxa"/>
          </w:tcPr>
          <w:p w14:paraId="3D67DDBA" w14:textId="77777777" w:rsidR="00B84FFD" w:rsidRDefault="00B84FFD" w:rsidP="00141466">
            <w:pPr>
              <w:spacing w:after="120"/>
              <w:rPr>
                <w:rFonts w:cs="Calibri"/>
              </w:rPr>
            </w:pPr>
            <w:r>
              <w:rPr>
                <w:rFonts w:cs="Calibri"/>
              </w:rPr>
              <w:t>UFI</w:t>
            </w:r>
          </w:p>
        </w:tc>
        <w:tc>
          <w:tcPr>
            <w:tcW w:w="5228" w:type="dxa"/>
          </w:tcPr>
          <w:p w14:paraId="54B21045" w14:textId="77777777" w:rsidR="00B84FFD" w:rsidRDefault="00B84FFD" w:rsidP="00141466">
            <w:pPr>
              <w:spacing w:after="120"/>
              <w:rPr>
                <w:rFonts w:cs="Calibri"/>
              </w:rPr>
            </w:pPr>
            <w:r>
              <w:rPr>
                <w:rFonts w:cs="Calibri"/>
              </w:rPr>
              <w:t>: XXXX-XXXX-XXXX-XXXX</w:t>
            </w:r>
          </w:p>
        </w:tc>
      </w:tr>
    </w:tbl>
    <w:p w14:paraId="4B997C1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 Utilisations identifiées pertinentes du mélange et utilisations déconseillées</w:t>
      </w:r>
    </w:p>
    <w:p w14:paraId="5A3A4529" w14:textId="77777777" w:rsidR="00B84FFD" w:rsidRPr="00CD2037" w:rsidRDefault="00B84FFD" w:rsidP="00B84FFD">
      <w:pPr>
        <w:spacing w:before="120" w:after="120" w:line="240" w:lineRule="auto"/>
        <w:rPr>
          <w:rFonts w:cs="Calibri"/>
        </w:rPr>
      </w:pPr>
      <w:r w:rsidRPr="00CD2037">
        <w:rPr>
          <w:rFonts w:cs="Calibri"/>
        </w:rPr>
        <w:t xml:space="preserve">Utilisations conseillées : </w:t>
      </w:r>
      <w:r>
        <w:rPr>
          <w:rFonts w:cs="Calibri"/>
        </w:rPr>
        <w:t>Bougie parfumante</w:t>
      </w:r>
    </w:p>
    <w:p w14:paraId="087C28B0" w14:textId="77777777" w:rsidR="00B84FFD" w:rsidRPr="00CD2037" w:rsidRDefault="00B84FFD" w:rsidP="00B84FFD">
      <w:pPr>
        <w:spacing w:before="120" w:after="120" w:line="240" w:lineRule="auto"/>
        <w:rPr>
          <w:rFonts w:cs="Calibri"/>
        </w:rPr>
      </w:pPr>
      <w:r w:rsidRPr="00CD2037">
        <w:rPr>
          <w:rFonts w:cs="Calibri"/>
        </w:rPr>
        <w:t>Utilisations déconseillées : Pas d’informations</w:t>
      </w:r>
    </w:p>
    <w:p w14:paraId="1E31A5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 Renseignements concernant le fournisseur de la fiche de données de sécurité</w:t>
      </w:r>
    </w:p>
    <w:p w14:paraId="71B67112"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JPSHOP EURL</w:t>
      </w:r>
    </w:p>
    <w:p w14:paraId="7F1CBDCA"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Le Chatel - Route de Provins</w:t>
      </w:r>
    </w:p>
    <w:p w14:paraId="0CA9F123"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77370 Nangis</w:t>
      </w:r>
    </w:p>
    <w:p w14:paraId="6E947DD7"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France</w:t>
      </w:r>
    </w:p>
    <w:p w14:paraId="51AC8ECD" w14:textId="77777777" w:rsidR="00B84FFD" w:rsidRPr="00CD2037" w:rsidRDefault="00B84FFD" w:rsidP="00B84FFD">
      <w:pPr>
        <w:shd w:val="clear" w:color="auto" w:fill="FFFFFF"/>
        <w:suppressAutoHyphens w:val="0"/>
        <w:autoSpaceDN/>
        <w:spacing w:after="0" w:line="240" w:lineRule="auto"/>
        <w:textAlignment w:val="auto"/>
        <w:rPr>
          <w:rFonts w:cs="Calibri"/>
        </w:rPr>
      </w:pPr>
      <w:r w:rsidRPr="00CD2037">
        <w:rPr>
          <w:rFonts w:cs="Calibri"/>
        </w:rPr>
        <w:t>09 52 00 10 60</w:t>
      </w:r>
    </w:p>
    <w:p w14:paraId="63EF2550" w14:textId="77777777" w:rsidR="00B84FFD" w:rsidRPr="00CD2037" w:rsidRDefault="00FD3F75" w:rsidP="00B84FFD">
      <w:pPr>
        <w:shd w:val="clear" w:color="auto" w:fill="FFFFFF"/>
        <w:suppressAutoHyphens w:val="0"/>
        <w:autoSpaceDN/>
        <w:spacing w:after="0" w:line="240" w:lineRule="auto"/>
        <w:textAlignment w:val="auto"/>
        <w:rPr>
          <w:rFonts w:cs="Calibri"/>
        </w:rPr>
      </w:pPr>
      <w:hyperlink r:id="rId7" w:tgtFrame="_blank" w:history="1">
        <w:r w:rsidR="00B84FFD" w:rsidRPr="00CD2037">
          <w:rPr>
            <w:rFonts w:cs="Calibri"/>
          </w:rPr>
          <w:t>contact@jpshop.fr</w:t>
        </w:r>
      </w:hyperlink>
    </w:p>
    <w:p w14:paraId="68775BE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 Numéro d’appel d’urgence</w:t>
      </w:r>
    </w:p>
    <w:p w14:paraId="460DB80F" w14:textId="77777777" w:rsidR="00B84FFD" w:rsidRPr="00FC0238" w:rsidRDefault="00B84FFD" w:rsidP="00B84FFD">
      <w:pPr>
        <w:spacing w:before="120" w:after="120" w:line="240" w:lineRule="auto"/>
        <w:rPr>
          <w:rFonts w:cs="Calibri"/>
        </w:rPr>
      </w:pPr>
      <w:r w:rsidRPr="00FC0238">
        <w:rPr>
          <w:rFonts w:cs="Calibri"/>
        </w:rPr>
        <w:t>Numéro d'urgence ORFILA : 01 45 42 59 59 (7j/7, 24h/24)</w:t>
      </w:r>
    </w:p>
    <w:p w14:paraId="175AFD0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2 : IDENTIFICATION DES DANGERS</w:t>
      </w:r>
    </w:p>
    <w:p w14:paraId="18AAC14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 xml:space="preserve">2.1 Classification de la substance ou du mélange </w:t>
      </w:r>
    </w:p>
    <w:p w14:paraId="3540F1E1" w14:textId="40CE45BA" w:rsidR="00B84FFD" w:rsidRDefault="00B84FFD" w:rsidP="00B84FFD">
      <w:pPr>
        <w:spacing w:before="120" w:after="120" w:line="240" w:lineRule="auto"/>
        <w:rPr>
          <w:rFonts w:cs="Calibri"/>
        </w:rPr>
      </w:pPr>
      <w:r w:rsidRPr="00FC0238">
        <w:rPr>
          <w:rFonts w:cs="Calibri"/>
        </w:rPr>
        <w:t>Ce produit est considéré comme un mélange. Classification selon les critères du règlement CE 1272/2008.</w:t>
      </w:r>
    </w:p>
    <w:tbl>
      <w:tblPr>
        <w:tblStyle w:val="SDSTableWithoutBorders"/>
        <w:tblW w:w="10485" w:type="dxa"/>
        <w:tblLayout w:type="fixed"/>
        <w:tblLook w:val="04A0" w:firstRow="1" w:lastRow="0" w:firstColumn="1" w:lastColumn="0" w:noHBand="0" w:noVBand="1"/>
      </w:tblPr>
      <w:tblGrid>
        <w:gridCol w:w="6941"/>
        <w:gridCol w:w="3544"/>
      </w:tblGrid>
      <w:tr w:rsidR="00B84FFD" w14:paraId="26EC90B9" w14:textId="77777777" w:rsidTr="00141466">
        <w:tc>
          <w:tcPr>
            <w:tcW w:w="6941" w:type="dxa"/>
          </w:tcPr>
          <w:p w14:paraId="178C270C" w14:textId="599E301C"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Sensibilisation cutanée, catégorie 1</w:t>
            </w:r>
            <w:r w:rsidR="00DA6E18">
              <w:rPr>
                <w:rFonts w:ascii="Calibri" w:eastAsia="Calibri" w:hAnsi="Calibri" w:cs="Calibri"/>
                <w:noProof w:val="0"/>
                <w:sz w:val="22"/>
                <w:szCs w:val="22"/>
                <w:lang w:val="fr-FR" w:eastAsia="en-US"/>
              </w:rPr>
              <w:t>B</w:t>
            </w:r>
          </w:p>
        </w:tc>
        <w:tc>
          <w:tcPr>
            <w:tcW w:w="3544" w:type="dxa"/>
          </w:tcPr>
          <w:p w14:paraId="76C2B6D2" w14:textId="77777777" w:rsidR="00B84FFD" w:rsidRPr="00A73D59" w:rsidRDefault="00B84FFD" w:rsidP="00141466">
            <w:pPr>
              <w:pStyle w:val="SDSTableTextNormal"/>
              <w:rPr>
                <w:rFonts w:ascii="Calibri" w:eastAsia="Calibri" w:hAnsi="Calibri" w:cs="Calibri"/>
                <w:noProof w:val="0"/>
                <w:sz w:val="22"/>
                <w:szCs w:val="22"/>
                <w:lang w:val="fr-FR" w:eastAsia="en-US"/>
              </w:rPr>
            </w:pPr>
            <w:r w:rsidRPr="00A73D59">
              <w:rPr>
                <w:rFonts w:ascii="Calibri" w:eastAsia="Calibri" w:hAnsi="Calibri" w:cs="Calibri"/>
                <w:noProof w:val="0"/>
                <w:sz w:val="22"/>
                <w:szCs w:val="22"/>
                <w:lang w:val="fr-FR" w:eastAsia="en-US"/>
              </w:rPr>
              <w:t xml:space="preserve">H317 </w:t>
            </w:r>
          </w:p>
        </w:tc>
      </w:tr>
      <w:tr w:rsidR="00C36DB0" w14:paraId="6FD22F46" w14:textId="77777777" w:rsidTr="00141466">
        <w:tc>
          <w:tcPr>
            <w:tcW w:w="6941" w:type="dxa"/>
          </w:tcPr>
          <w:p w14:paraId="439C7F0A" w14:textId="43FC0A8E" w:rsidR="00C36DB0" w:rsidRPr="00A73D59" w:rsidRDefault="003641A3" w:rsidP="00141466">
            <w:pPr>
              <w:pStyle w:val="SDSTableTextNormal"/>
              <w:rPr>
                <w:rFonts w:ascii="Calibri" w:eastAsia="Calibri" w:hAnsi="Calibri" w:cs="Calibri"/>
                <w:noProof w:val="0"/>
                <w:sz w:val="22"/>
                <w:szCs w:val="22"/>
                <w:lang w:val="fr-FR" w:eastAsia="en-US"/>
              </w:rPr>
            </w:pPr>
            <w:r w:rsidRPr="003641A3">
              <w:rPr>
                <w:rFonts w:ascii="Calibri" w:eastAsia="Calibri" w:hAnsi="Calibri" w:cs="Calibri"/>
                <w:noProof w:val="0"/>
                <w:sz w:val="22"/>
                <w:szCs w:val="22"/>
                <w:lang w:val="fr-FR" w:eastAsia="en-US"/>
              </w:rPr>
              <w:t>Dangers pour le milieu aquatique – Danger chronique, catégorie 3</w:t>
            </w:r>
          </w:p>
        </w:tc>
        <w:tc>
          <w:tcPr>
            <w:tcW w:w="3544" w:type="dxa"/>
          </w:tcPr>
          <w:p w14:paraId="65C27367" w14:textId="7F494F6F" w:rsidR="00C36DB0" w:rsidRPr="00A73D59" w:rsidRDefault="003641A3" w:rsidP="00141466">
            <w:pPr>
              <w:pStyle w:val="SDSTableTextNormal"/>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H412</w:t>
            </w:r>
          </w:p>
        </w:tc>
      </w:tr>
    </w:tbl>
    <w:p w14:paraId="7EFFB68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2.2 Éléments d’étiquetage</w:t>
      </w:r>
    </w:p>
    <w:tbl>
      <w:tblPr>
        <w:tblStyle w:val="SDSTableWithoutBorders"/>
        <w:tblW w:w="10773" w:type="dxa"/>
        <w:tblLayout w:type="fixed"/>
        <w:tblCellMar>
          <w:left w:w="70" w:type="dxa"/>
          <w:right w:w="70" w:type="dxa"/>
        </w:tblCellMar>
        <w:tblLook w:val="04A0" w:firstRow="1" w:lastRow="0" w:firstColumn="1" w:lastColumn="0" w:noHBand="0" w:noVBand="1"/>
      </w:tblPr>
      <w:tblGrid>
        <w:gridCol w:w="2694"/>
        <w:gridCol w:w="283"/>
        <w:gridCol w:w="2069"/>
        <w:gridCol w:w="1077"/>
        <w:gridCol w:w="1077"/>
        <w:gridCol w:w="1077"/>
        <w:gridCol w:w="1077"/>
        <w:gridCol w:w="1419"/>
      </w:tblGrid>
      <w:tr w:rsidR="00B84FFD" w14:paraId="15D222B0" w14:textId="77777777" w:rsidTr="00B044D6">
        <w:tc>
          <w:tcPr>
            <w:tcW w:w="2694" w:type="dxa"/>
          </w:tcPr>
          <w:p w14:paraId="330B5E99"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Pictogrammes de danger (CLP)</w:t>
            </w:r>
          </w:p>
        </w:tc>
        <w:tc>
          <w:tcPr>
            <w:tcW w:w="283" w:type="dxa"/>
          </w:tcPr>
          <w:p w14:paraId="5638D48B"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2069" w:type="dxa"/>
          </w:tcPr>
          <w:p w14:paraId="5D3EC4D7" w14:textId="56D2FC35" w:rsidR="00B84FFD" w:rsidRPr="00DE091F" w:rsidRDefault="00225DFF" w:rsidP="00141466">
            <w:pPr>
              <w:pStyle w:val="SDSTableTextCentered"/>
              <w:rPr>
                <w:rFonts w:ascii="Calibri" w:eastAsia="Calibri" w:hAnsi="Calibri" w:cs="Calibri"/>
                <w:noProof w:val="0"/>
                <w:sz w:val="22"/>
                <w:szCs w:val="22"/>
                <w:highlight w:val="yellow"/>
                <w:lang w:val="fr-FR" w:eastAsia="en-US"/>
              </w:rPr>
            </w:pPr>
            <w:r>
              <w:rPr>
                <w14:ligatures w14:val="standardContextual"/>
              </w:rPr>
              <w:drawing>
                <wp:inline distT="0" distB="0" distL="0" distR="0" wp14:anchorId="772250CC" wp14:editId="0D39F31F">
                  <wp:extent cx="1059334" cy="1112520"/>
                  <wp:effectExtent l="0" t="0" r="7620" b="0"/>
                  <wp:docPr id="8" name="Graphique 7">
                    <a:extLst xmlns:a="http://schemas.openxmlformats.org/drawingml/2006/main">
                      <a:ext uri="{FF2B5EF4-FFF2-40B4-BE49-F238E27FC236}">
                        <a16:creationId xmlns:a16="http://schemas.microsoft.com/office/drawing/2014/main" id="{00000000-0008-0000-0100-000008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a:extLst>
                              <a:ext uri="{FF2B5EF4-FFF2-40B4-BE49-F238E27FC236}">
                                <a16:creationId xmlns:a16="http://schemas.microsoft.com/office/drawing/2014/main" id="{00000000-0008-0000-0100-000008000000}"/>
                              </a:ext>
                            </a:extLst>
                          </pic:cNvPr>
                          <pic:cNvPicPr>
                            <a:picLocks noChangeAspect="1"/>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068338" cy="1121976"/>
                          </a:xfrm>
                          <a:prstGeom prst="rect">
                            <a:avLst/>
                          </a:prstGeom>
                        </pic:spPr>
                      </pic:pic>
                    </a:graphicData>
                  </a:graphic>
                </wp:inline>
              </w:drawing>
            </w:r>
          </w:p>
        </w:tc>
        <w:tc>
          <w:tcPr>
            <w:tcW w:w="1077" w:type="dxa"/>
          </w:tcPr>
          <w:p w14:paraId="4C125EF8"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77D23B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73D495D"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5344D2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227FA463"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77B33BF1" w14:textId="77777777" w:rsidTr="00B044D6">
        <w:tblPrEx>
          <w:tblCellMar>
            <w:left w:w="0" w:type="dxa"/>
            <w:right w:w="0" w:type="dxa"/>
          </w:tblCellMar>
        </w:tblPrEx>
        <w:tc>
          <w:tcPr>
            <w:tcW w:w="2694" w:type="dxa"/>
          </w:tcPr>
          <w:p w14:paraId="398980AC" w14:textId="77777777" w:rsidR="00B84FFD" w:rsidRPr="00DE091F" w:rsidRDefault="00B84FFD" w:rsidP="00141466">
            <w:pPr>
              <w:pStyle w:val="SDSTableTextNormal"/>
              <w:rPr>
                <w:rFonts w:ascii="Calibri" w:eastAsia="Calibri" w:hAnsi="Calibri" w:cs="Calibri"/>
                <w:noProof w:val="0"/>
                <w:sz w:val="22"/>
                <w:szCs w:val="22"/>
                <w:highlight w:val="yellow"/>
                <w:lang w:val="fr-FR" w:eastAsia="en-US"/>
              </w:rPr>
            </w:pPr>
          </w:p>
        </w:tc>
        <w:tc>
          <w:tcPr>
            <w:tcW w:w="283" w:type="dxa"/>
          </w:tcPr>
          <w:p w14:paraId="6B1A0BF1" w14:textId="77777777" w:rsidR="00B84FFD" w:rsidRPr="00DE091F" w:rsidRDefault="00B84FFD" w:rsidP="00141466">
            <w:pPr>
              <w:pStyle w:val="SDSTableTextColonColumn"/>
              <w:rPr>
                <w:rFonts w:ascii="Calibri" w:eastAsia="Calibri" w:hAnsi="Calibri" w:cs="Calibri"/>
                <w:noProof w:val="0"/>
                <w:sz w:val="22"/>
                <w:szCs w:val="22"/>
                <w:highlight w:val="yellow"/>
                <w:lang w:val="fr-FR" w:eastAsia="en-US"/>
              </w:rPr>
            </w:pPr>
          </w:p>
        </w:tc>
        <w:tc>
          <w:tcPr>
            <w:tcW w:w="2069" w:type="dxa"/>
          </w:tcPr>
          <w:p w14:paraId="61490500"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4951B2EE"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E4A3DC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613216DF"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077" w:type="dxa"/>
          </w:tcPr>
          <w:p w14:paraId="59A45FB2"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c>
          <w:tcPr>
            <w:tcW w:w="1419" w:type="dxa"/>
          </w:tcPr>
          <w:p w14:paraId="11F82514" w14:textId="77777777" w:rsidR="00B84FFD" w:rsidRPr="00DE091F" w:rsidRDefault="00B84FFD" w:rsidP="00141466">
            <w:pPr>
              <w:pStyle w:val="SDSTableTextCentered"/>
              <w:rPr>
                <w:rFonts w:ascii="Calibri" w:eastAsia="Calibri" w:hAnsi="Calibri" w:cs="Calibri"/>
                <w:noProof w:val="0"/>
                <w:sz w:val="22"/>
                <w:szCs w:val="22"/>
                <w:highlight w:val="yellow"/>
                <w:lang w:val="fr-FR" w:eastAsia="en-US"/>
              </w:rPr>
            </w:pPr>
          </w:p>
        </w:tc>
      </w:tr>
      <w:tr w:rsidR="00B84FFD" w14:paraId="5EEC14E4" w14:textId="77777777" w:rsidTr="00B044D6">
        <w:tblPrEx>
          <w:tblCellMar>
            <w:left w:w="0" w:type="dxa"/>
            <w:right w:w="0" w:type="dxa"/>
          </w:tblCellMar>
        </w:tblPrEx>
        <w:tc>
          <w:tcPr>
            <w:tcW w:w="2694" w:type="dxa"/>
          </w:tcPr>
          <w:p w14:paraId="320F77ED"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 d'avertissement (CLP)</w:t>
            </w:r>
          </w:p>
        </w:tc>
        <w:tc>
          <w:tcPr>
            <w:tcW w:w="283" w:type="dxa"/>
          </w:tcPr>
          <w:p w14:paraId="16787DD1" w14:textId="77777777" w:rsidR="00B84FFD" w:rsidRPr="00225DFF" w:rsidRDefault="00B84FFD" w:rsidP="00141466">
            <w:pPr>
              <w:pStyle w:val="SDSTableTextColonColumn"/>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w:t>
            </w:r>
          </w:p>
        </w:tc>
        <w:tc>
          <w:tcPr>
            <w:tcW w:w="7796" w:type="dxa"/>
            <w:gridSpan w:val="6"/>
          </w:tcPr>
          <w:p w14:paraId="277F6FAD" w14:textId="77777777" w:rsidR="00B84FFD" w:rsidRPr="00225DFF" w:rsidRDefault="00B84FFD" w:rsidP="00141466">
            <w:pPr>
              <w:pStyle w:val="SDSTableTextNormal"/>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Attention</w:t>
            </w:r>
          </w:p>
        </w:tc>
      </w:tr>
      <w:tr w:rsidR="00B84FFD" w14:paraId="03353FC6" w14:textId="77777777" w:rsidTr="00B044D6">
        <w:tblPrEx>
          <w:tblCellMar>
            <w:left w:w="0" w:type="dxa"/>
            <w:right w:w="0" w:type="dxa"/>
          </w:tblCellMar>
        </w:tblPrEx>
        <w:tc>
          <w:tcPr>
            <w:tcW w:w="2694" w:type="dxa"/>
          </w:tcPr>
          <w:p w14:paraId="21EA4EE3"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lastRenderedPageBreak/>
              <w:t>Contient</w:t>
            </w:r>
          </w:p>
        </w:tc>
        <w:tc>
          <w:tcPr>
            <w:tcW w:w="283" w:type="dxa"/>
          </w:tcPr>
          <w:p w14:paraId="34E12F0F"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3DD72F10" w14:textId="1CD1DA62" w:rsidR="00B84FFD" w:rsidRPr="006E3F73" w:rsidRDefault="009D4674" w:rsidP="009D4674">
            <w:pPr>
              <w:keepLines w:val="0"/>
              <w:spacing w:after="160"/>
              <w:rPr>
                <w:rFonts w:cs="Calibri"/>
                <w:sz w:val="22"/>
                <w:szCs w:val="22"/>
                <w:lang w:val="fr-FR" w:eastAsia="en-US"/>
              </w:rPr>
            </w:pPr>
            <w:r w:rsidRPr="009D4674">
              <w:rPr>
                <w:rFonts w:cs="Calibri"/>
                <w:sz w:val="22"/>
                <w:szCs w:val="22"/>
                <w:lang w:val="fr-FR" w:eastAsia="en-US"/>
              </w:rPr>
              <w:t>linalyl acetate</w:t>
            </w:r>
            <w:r w:rsidRPr="009D4674">
              <w:rPr>
                <w:rFonts w:cs="Calibri"/>
                <w:sz w:val="22"/>
                <w:szCs w:val="22"/>
                <w:lang w:val="fr-FR" w:eastAsia="en-US"/>
              </w:rPr>
              <w:t xml:space="preserve">, </w:t>
            </w:r>
            <w:r w:rsidRPr="009D4674">
              <w:rPr>
                <w:rFonts w:cs="Calibri"/>
                <w:sz w:val="22"/>
                <w:szCs w:val="22"/>
                <w:lang w:val="fr-FR" w:eastAsia="en-US"/>
              </w:rPr>
              <w:t>dextro-limonene</w:t>
            </w:r>
            <w:r w:rsidRPr="009D4674">
              <w:rPr>
                <w:rFonts w:cs="Calibri"/>
                <w:sz w:val="22"/>
                <w:szCs w:val="22"/>
                <w:lang w:val="fr-FR" w:eastAsia="en-US"/>
              </w:rPr>
              <w:t xml:space="preserve">, </w:t>
            </w:r>
            <w:r w:rsidRPr="009D4674">
              <w:rPr>
                <w:rFonts w:cs="Calibri"/>
                <w:sz w:val="22"/>
                <w:szCs w:val="22"/>
                <w:lang w:val="fr-FR" w:eastAsia="en-US"/>
              </w:rPr>
              <w:t>vertocitral</w:t>
            </w:r>
            <w:r w:rsidRPr="009D4674">
              <w:rPr>
                <w:rFonts w:cs="Calibri"/>
                <w:sz w:val="22"/>
                <w:szCs w:val="22"/>
                <w:lang w:val="fr-FR" w:eastAsia="en-US"/>
              </w:rPr>
              <w:t xml:space="preserve">, </w:t>
            </w:r>
            <w:r w:rsidRPr="009D4674">
              <w:rPr>
                <w:rFonts w:cs="Calibri"/>
                <w:sz w:val="22"/>
                <w:szCs w:val="22"/>
                <w:lang w:val="fr-FR" w:eastAsia="en-US"/>
              </w:rPr>
              <w:t>delta-3-carene</w:t>
            </w:r>
            <w:r w:rsidRPr="009D4674">
              <w:rPr>
                <w:rFonts w:cs="Calibri"/>
                <w:sz w:val="22"/>
                <w:szCs w:val="22"/>
                <w:lang w:val="fr-FR" w:eastAsia="en-US"/>
              </w:rPr>
              <w:t xml:space="preserve">, </w:t>
            </w:r>
            <w:r w:rsidRPr="009D4674">
              <w:rPr>
                <w:rFonts w:cs="Calibri"/>
                <w:sz w:val="22"/>
                <w:szCs w:val="22"/>
                <w:lang w:val="fr-FR" w:eastAsia="en-US"/>
              </w:rPr>
              <w:t>linalool</w:t>
            </w:r>
            <w:r w:rsidRPr="009D4674">
              <w:rPr>
                <w:rFonts w:cs="Calibri"/>
                <w:sz w:val="22"/>
                <w:szCs w:val="22"/>
                <w:lang w:val="fr-FR" w:eastAsia="en-US"/>
              </w:rPr>
              <w:t xml:space="preserve">, </w:t>
            </w:r>
            <w:r w:rsidRPr="009D4674">
              <w:rPr>
                <w:rFonts w:cs="Calibri"/>
                <w:sz w:val="22"/>
                <w:szCs w:val="22"/>
                <w:lang w:val="fr-FR" w:eastAsia="en-US"/>
              </w:rPr>
              <w:t>citral</w:t>
            </w:r>
            <w:r w:rsidRPr="009D4674">
              <w:rPr>
                <w:rFonts w:cs="Calibri"/>
                <w:sz w:val="22"/>
                <w:szCs w:val="22"/>
                <w:lang w:val="fr-FR" w:eastAsia="en-US"/>
              </w:rPr>
              <w:t xml:space="preserve">, </w:t>
            </w:r>
            <w:r w:rsidRPr="009D4674">
              <w:rPr>
                <w:rFonts w:cs="Calibri"/>
                <w:sz w:val="22"/>
                <w:szCs w:val="22"/>
                <w:lang w:val="fr-FR" w:eastAsia="en-US"/>
              </w:rPr>
              <w:t>alpha-pinene</w:t>
            </w:r>
            <w:r w:rsidR="00B075AB" w:rsidRPr="009D4674">
              <w:rPr>
                <w:rFonts w:cs="Calibri"/>
                <w:sz w:val="22"/>
                <w:szCs w:val="22"/>
                <w:lang w:val="fr-FR" w:eastAsia="en-US"/>
              </w:rPr>
              <w:t xml:space="preserve">. </w:t>
            </w:r>
            <w:r w:rsidR="00E832B0" w:rsidRPr="00E832B0">
              <w:rPr>
                <w:rFonts w:cs="Calibri"/>
                <w:sz w:val="22"/>
                <w:szCs w:val="22"/>
                <w:lang w:val="fr-FR" w:eastAsia="en-US"/>
              </w:rPr>
              <w:t>Peut produire une réaction allergique.</w:t>
            </w:r>
          </w:p>
        </w:tc>
      </w:tr>
      <w:tr w:rsidR="00B84FFD" w14:paraId="009C715A" w14:textId="77777777" w:rsidTr="00B044D6">
        <w:tblPrEx>
          <w:tblCellMar>
            <w:left w:w="0" w:type="dxa"/>
            <w:right w:w="0" w:type="dxa"/>
          </w:tblCellMar>
        </w:tblPrEx>
        <w:trPr>
          <w:cantSplit w:val="0"/>
        </w:trPr>
        <w:tc>
          <w:tcPr>
            <w:tcW w:w="2694" w:type="dxa"/>
          </w:tcPr>
          <w:p w14:paraId="2CDC42EE"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Mentions de danger (CLP)</w:t>
            </w:r>
          </w:p>
        </w:tc>
        <w:tc>
          <w:tcPr>
            <w:tcW w:w="283" w:type="dxa"/>
          </w:tcPr>
          <w:p w14:paraId="1900808E"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5D627BE3" w14:textId="77777777" w:rsidR="008026E1" w:rsidRDefault="00B84FFD" w:rsidP="0014146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H317 - Peut provoquer une allergie cutanée.</w:t>
            </w:r>
          </w:p>
          <w:p w14:paraId="435074C5" w14:textId="05DE3F58" w:rsidR="003641A3" w:rsidRPr="00FC70EC" w:rsidRDefault="003641A3" w:rsidP="0014146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H412 - </w:t>
            </w:r>
            <w:r w:rsidR="00BA04E9" w:rsidRPr="00BA04E9">
              <w:rPr>
                <w:rFonts w:ascii="Calibri" w:eastAsia="Calibri" w:hAnsi="Calibri" w:cs="Calibri"/>
                <w:noProof w:val="0"/>
                <w:sz w:val="22"/>
                <w:szCs w:val="22"/>
                <w:lang w:val="fr-FR" w:eastAsia="en-US"/>
              </w:rPr>
              <w:t>Nocif pour les organismes aquatiques, entraîne des effets néfastes à long terme</w:t>
            </w:r>
            <w:r w:rsidR="00BA04E9">
              <w:rPr>
                <w:rFonts w:ascii="Calibri" w:eastAsia="Calibri" w:hAnsi="Calibri" w:cs="Calibri"/>
                <w:noProof w:val="0"/>
                <w:sz w:val="22"/>
                <w:szCs w:val="22"/>
                <w:lang w:val="fr-FR" w:eastAsia="en-US"/>
              </w:rPr>
              <w:t>.</w:t>
            </w:r>
          </w:p>
        </w:tc>
      </w:tr>
      <w:tr w:rsidR="00B84FFD" w14:paraId="3E48EAD3" w14:textId="77777777" w:rsidTr="00B044D6">
        <w:tblPrEx>
          <w:tblCellMar>
            <w:left w:w="0" w:type="dxa"/>
            <w:right w:w="0" w:type="dxa"/>
          </w:tblCellMar>
        </w:tblPrEx>
        <w:trPr>
          <w:cantSplit w:val="0"/>
        </w:trPr>
        <w:tc>
          <w:tcPr>
            <w:tcW w:w="2694" w:type="dxa"/>
          </w:tcPr>
          <w:p w14:paraId="0CB53DA0" w14:textId="77777777" w:rsidR="00B84FFD" w:rsidRPr="00DE091F" w:rsidRDefault="00B84FFD" w:rsidP="00141466">
            <w:pPr>
              <w:pStyle w:val="SDSTableTextNormal"/>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Conseils de prudence (CLP)</w:t>
            </w:r>
          </w:p>
        </w:tc>
        <w:tc>
          <w:tcPr>
            <w:tcW w:w="283" w:type="dxa"/>
          </w:tcPr>
          <w:p w14:paraId="2009D1E2" w14:textId="77777777" w:rsidR="00B84FFD" w:rsidRPr="00DE091F" w:rsidRDefault="00B84FFD" w:rsidP="00141466">
            <w:pPr>
              <w:pStyle w:val="SDSTableTextColonColumn"/>
              <w:rPr>
                <w:rFonts w:ascii="Calibri" w:eastAsia="Calibri" w:hAnsi="Calibri" w:cs="Calibri"/>
                <w:noProof w:val="0"/>
                <w:sz w:val="22"/>
                <w:szCs w:val="22"/>
                <w:lang w:val="fr-FR" w:eastAsia="en-US"/>
              </w:rPr>
            </w:pPr>
            <w:r w:rsidRPr="00DE091F">
              <w:rPr>
                <w:rFonts w:ascii="Calibri" w:eastAsia="Calibri" w:hAnsi="Calibri" w:cs="Calibri"/>
                <w:noProof w:val="0"/>
                <w:sz w:val="22"/>
                <w:szCs w:val="22"/>
                <w:lang w:val="fr-FR" w:eastAsia="en-US"/>
              </w:rPr>
              <w:t>:</w:t>
            </w:r>
          </w:p>
        </w:tc>
        <w:tc>
          <w:tcPr>
            <w:tcW w:w="7796" w:type="dxa"/>
            <w:gridSpan w:val="6"/>
          </w:tcPr>
          <w:p w14:paraId="7D59923F" w14:textId="77777777" w:rsidR="00A72910" w:rsidRDefault="00B84FFD" w:rsidP="007E0F36">
            <w:pPr>
              <w:pStyle w:val="SDSTableTextNormal"/>
              <w:keepLines w:val="0"/>
              <w:rPr>
                <w:rFonts w:ascii="Calibri" w:eastAsia="Calibri" w:hAnsi="Calibri" w:cs="Calibri"/>
                <w:noProof w:val="0"/>
                <w:sz w:val="22"/>
                <w:szCs w:val="22"/>
                <w:lang w:val="fr-FR" w:eastAsia="en-US"/>
              </w:rPr>
            </w:pPr>
            <w:r w:rsidRPr="00225DFF">
              <w:rPr>
                <w:rFonts w:ascii="Calibri" w:eastAsia="Calibri" w:hAnsi="Calibri" w:cs="Calibri"/>
                <w:noProof w:val="0"/>
                <w:sz w:val="22"/>
                <w:szCs w:val="22"/>
                <w:lang w:val="fr-FR" w:eastAsia="en-US"/>
              </w:rPr>
              <w:t>P102 - Tenir hors de portée des enfants.</w:t>
            </w:r>
          </w:p>
          <w:p w14:paraId="7CFD4C4A" w14:textId="4022BF99" w:rsidR="00BA04E9" w:rsidRDefault="00BA04E9" w:rsidP="007E0F36">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P273 – Eviter le rejet dans l’environnement.</w:t>
            </w:r>
          </w:p>
          <w:p w14:paraId="4B8C506A" w14:textId="77777777" w:rsidR="00984D37" w:rsidRDefault="00B84FFD" w:rsidP="00DA6E18">
            <w:pPr>
              <w:pStyle w:val="SDSTableTextNormal"/>
              <w:keepLines w:val="0"/>
              <w:rPr>
                <w:rFonts w:ascii="Calibri" w:eastAsia="Calibri" w:hAnsi="Calibri" w:cs="Calibri"/>
                <w:noProof w:val="0"/>
                <w:sz w:val="22"/>
                <w:szCs w:val="22"/>
                <w:lang w:val="fr-FR" w:eastAsia="en-US"/>
              </w:rPr>
            </w:pPr>
            <w:r w:rsidRPr="006D12A4">
              <w:rPr>
                <w:rFonts w:ascii="Calibri" w:eastAsia="Calibri" w:hAnsi="Calibri" w:cs="Calibri"/>
                <w:noProof w:val="0"/>
                <w:sz w:val="22"/>
                <w:szCs w:val="22"/>
                <w:lang w:val="fr-FR" w:eastAsia="en-US"/>
              </w:rPr>
              <w:t>P302+P352 - EN CAS DE CONTACT AVEC LA PEAU: Laver abondamment à l’eau.</w:t>
            </w:r>
            <w:r w:rsidRPr="00265B98">
              <w:rPr>
                <w:rFonts w:ascii="Calibri" w:eastAsia="Calibri" w:hAnsi="Calibri" w:cs="Calibri"/>
                <w:noProof w:val="0"/>
                <w:sz w:val="22"/>
                <w:szCs w:val="22"/>
                <w:lang w:val="fr-FR" w:eastAsia="en-US"/>
              </w:rPr>
              <w:br/>
            </w:r>
            <w:r w:rsidRPr="006D12A4">
              <w:rPr>
                <w:rFonts w:ascii="Calibri" w:eastAsia="Calibri" w:hAnsi="Calibri" w:cs="Calibri"/>
                <w:noProof w:val="0"/>
                <w:sz w:val="22"/>
                <w:szCs w:val="22"/>
                <w:lang w:val="fr-FR" w:eastAsia="en-US"/>
              </w:rPr>
              <w:t>P333+P313 - En cas d’irritation ou d'éruption cutanée: consulter un médecin.</w:t>
            </w:r>
          </w:p>
          <w:p w14:paraId="33C59744" w14:textId="703F90E1" w:rsidR="00BA04E9" w:rsidRPr="00817F9B" w:rsidRDefault="00BA04E9" w:rsidP="00DA6E18">
            <w:pPr>
              <w:pStyle w:val="SDSTableTextNormal"/>
              <w:keepLines w:val="0"/>
              <w:rPr>
                <w:rFonts w:ascii="Calibri" w:eastAsia="Calibri" w:hAnsi="Calibri" w:cs="Calibri"/>
                <w:noProof w:val="0"/>
                <w:sz w:val="22"/>
                <w:szCs w:val="22"/>
                <w:lang w:val="fr-FR" w:eastAsia="en-US"/>
              </w:rPr>
            </w:pPr>
            <w:r>
              <w:rPr>
                <w:rFonts w:ascii="Calibri" w:eastAsia="Calibri" w:hAnsi="Calibri" w:cs="Calibri"/>
                <w:noProof w:val="0"/>
                <w:sz w:val="22"/>
                <w:szCs w:val="22"/>
                <w:lang w:val="fr-FR" w:eastAsia="en-US"/>
              </w:rPr>
              <w:t xml:space="preserve">P501 - </w:t>
            </w:r>
            <w:r w:rsidR="00406365" w:rsidRPr="00406365">
              <w:rPr>
                <w:rFonts w:ascii="Calibri" w:eastAsia="Calibri" w:hAnsi="Calibri" w:cs="Calibri"/>
                <w:noProof w:val="0"/>
                <w:sz w:val="22"/>
                <w:szCs w:val="22"/>
                <w:lang w:val="fr-FR" w:eastAsia="en-US"/>
              </w:rPr>
              <w:t>Éliminer le contenu/récipient dans un centre de collecte de déchets dangereux ou spéciaux, conformément à la réglementation locale, régionale, nationale et/ou internationale.</w:t>
            </w:r>
          </w:p>
        </w:tc>
      </w:tr>
    </w:tbl>
    <w:p w14:paraId="0E657E0E" w14:textId="77777777" w:rsidR="00B84FFD" w:rsidRPr="00FC0238" w:rsidRDefault="00B84FFD" w:rsidP="00B84FFD">
      <w:pPr>
        <w:suppressAutoHyphens w:val="0"/>
        <w:rPr>
          <w:rFonts w:eastAsia="Times New Roman" w:cs="Calibri"/>
          <w:color w:val="000000"/>
          <w:lang w:eastAsia="fr-FR"/>
        </w:rPr>
      </w:pPr>
    </w:p>
    <w:p w14:paraId="66A18F5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2.3 Autres dangers</w:t>
      </w:r>
    </w:p>
    <w:p w14:paraId="4863F946" w14:textId="710EC290" w:rsidR="00AD73C2" w:rsidRPr="00AD73C2" w:rsidRDefault="00AD73C2" w:rsidP="00B84FFD">
      <w:pPr>
        <w:spacing w:before="120" w:after="120" w:line="240" w:lineRule="auto"/>
        <w:rPr>
          <w:rFonts w:cs="Calibri"/>
        </w:rPr>
      </w:pPr>
      <w:r w:rsidRPr="00AD73C2">
        <w:t>Ne contient pas de substances PBT/vPvB ≥ 0,1 % évaluées conformément à l’annexe XIII du règlement REACH</w:t>
      </w:r>
    </w:p>
    <w:p w14:paraId="5F04D58B" w14:textId="1B111195" w:rsidR="00B84FFD" w:rsidRDefault="00B84FFD" w:rsidP="00B84FFD">
      <w:pPr>
        <w:spacing w:before="120" w:after="120" w:line="240" w:lineRule="auto"/>
        <w:rPr>
          <w:rFonts w:cs="Calibri"/>
        </w:rPr>
      </w:pPr>
      <w:r w:rsidRPr="00AD73C2">
        <w:rPr>
          <w:rFonts w:cs="Calibri"/>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w:t>
      </w:r>
      <w:r w:rsidR="00AD73C2">
        <w:rPr>
          <w:rFonts w:cs="Calibri"/>
        </w:rPr>
        <w:t>.</w:t>
      </w:r>
    </w:p>
    <w:p w14:paraId="10B41FB2" w14:textId="77777777" w:rsidR="00B84FFD" w:rsidRPr="00FC0238" w:rsidRDefault="00B84FFD" w:rsidP="00B84FFD">
      <w:pPr>
        <w:spacing w:before="120" w:after="120" w:line="240" w:lineRule="auto"/>
        <w:rPr>
          <w:rFonts w:cs="Calibri"/>
        </w:rPr>
      </w:pPr>
    </w:p>
    <w:p w14:paraId="6930B964"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3 : COMPOSITION/</w:t>
      </w:r>
      <w:r w:rsidRPr="00F43173">
        <w:rPr>
          <w:rFonts w:cs="Calibri"/>
          <w:sz w:val="28"/>
          <w:szCs w:val="28"/>
        </w:rPr>
        <w:t>INFORMATIONS SUR LES COMPOSANTS</w:t>
      </w:r>
    </w:p>
    <w:p w14:paraId="0D452758"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3.1 Substances</w:t>
      </w:r>
    </w:p>
    <w:p w14:paraId="310311AB" w14:textId="77777777" w:rsidR="00B84FFD" w:rsidRPr="00FC0238" w:rsidRDefault="00B84FFD" w:rsidP="00B84FFD">
      <w:pPr>
        <w:spacing w:before="120" w:after="120" w:line="240" w:lineRule="auto"/>
        <w:rPr>
          <w:rFonts w:cs="Calibri"/>
        </w:rPr>
      </w:pPr>
      <w:r w:rsidRPr="00FC0238">
        <w:rPr>
          <w:rFonts w:cs="Calibri"/>
        </w:rPr>
        <w:t>Non applicable</w:t>
      </w:r>
    </w:p>
    <w:p w14:paraId="5DC99786" w14:textId="27C4D4EF"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3.2 Mélanges</w:t>
      </w:r>
    </w:p>
    <w:p w14:paraId="63FB9C00" w14:textId="77777777" w:rsidR="00B84FFD" w:rsidRDefault="00B84FFD" w:rsidP="00B84FFD">
      <w:pPr>
        <w:spacing w:before="120" w:after="120" w:line="240" w:lineRule="auto"/>
        <w:rPr>
          <w:rFonts w:cs="Calibri"/>
          <w:sz w:val="20"/>
          <w:szCs w:val="20"/>
          <w:lang w:val="en-US"/>
        </w:rPr>
      </w:pPr>
    </w:p>
    <w:tbl>
      <w:tblPr>
        <w:tblStyle w:val="TableGrid"/>
        <w:tblW w:w="9598" w:type="dxa"/>
        <w:tblInd w:w="-55" w:type="dxa"/>
        <w:tblCellMar>
          <w:top w:w="94" w:type="dxa"/>
          <w:left w:w="55" w:type="dxa"/>
          <w:right w:w="16" w:type="dxa"/>
        </w:tblCellMar>
        <w:tblLook w:val="04A0" w:firstRow="1" w:lastRow="0" w:firstColumn="1" w:lastColumn="0" w:noHBand="0" w:noVBand="1"/>
      </w:tblPr>
      <w:tblGrid>
        <w:gridCol w:w="3513"/>
        <w:gridCol w:w="990"/>
        <w:gridCol w:w="780"/>
        <w:gridCol w:w="2998"/>
        <w:gridCol w:w="1317"/>
      </w:tblGrid>
      <w:tr w:rsidR="009D4674" w14:paraId="0DFBFB02" w14:textId="77777777" w:rsidTr="00EC639D">
        <w:trPr>
          <w:trHeight w:val="339"/>
        </w:trPr>
        <w:tc>
          <w:tcPr>
            <w:tcW w:w="3513" w:type="dxa"/>
            <w:tcBorders>
              <w:top w:val="single" w:sz="2" w:space="0" w:color="000000"/>
              <w:left w:val="single" w:sz="2" w:space="0" w:color="000000"/>
              <w:bottom w:val="single" w:sz="2" w:space="0" w:color="000000"/>
              <w:right w:val="single" w:sz="5" w:space="0" w:color="000000"/>
            </w:tcBorders>
          </w:tcPr>
          <w:p w14:paraId="2FE4BAAA" w14:textId="77777777" w:rsidR="009D4674" w:rsidRDefault="009D4674" w:rsidP="00EC639D">
            <w:pPr>
              <w:ind w:right="4"/>
              <w:jc w:val="center"/>
            </w:pPr>
            <w:r>
              <w:rPr>
                <w:rFonts w:ascii="Arial" w:eastAsia="Arial" w:hAnsi="Arial" w:cs="Arial"/>
                <w:sz w:val="16"/>
              </w:rPr>
              <w:t>Matière</w:t>
            </w:r>
          </w:p>
        </w:tc>
        <w:tc>
          <w:tcPr>
            <w:tcW w:w="990" w:type="dxa"/>
            <w:tcBorders>
              <w:top w:val="single" w:sz="2" w:space="0" w:color="000000"/>
              <w:left w:val="single" w:sz="5" w:space="0" w:color="000000"/>
              <w:bottom w:val="single" w:sz="2" w:space="0" w:color="000000"/>
              <w:right w:val="single" w:sz="5" w:space="0" w:color="000000"/>
            </w:tcBorders>
          </w:tcPr>
          <w:p w14:paraId="74D9EA64" w14:textId="77777777" w:rsidR="009D4674" w:rsidRDefault="009D4674" w:rsidP="00EC639D">
            <w:pPr>
              <w:ind w:right="16"/>
              <w:jc w:val="center"/>
            </w:pPr>
            <w:r>
              <w:rPr>
                <w:rFonts w:ascii="Arial" w:eastAsia="Arial" w:hAnsi="Arial" w:cs="Arial"/>
                <w:sz w:val="16"/>
              </w:rPr>
              <w:t>C.A.S</w:t>
            </w:r>
          </w:p>
        </w:tc>
        <w:tc>
          <w:tcPr>
            <w:tcW w:w="780" w:type="dxa"/>
            <w:tcBorders>
              <w:top w:val="single" w:sz="2" w:space="0" w:color="000000"/>
              <w:left w:val="single" w:sz="5" w:space="0" w:color="000000"/>
              <w:bottom w:val="single" w:sz="2" w:space="0" w:color="000000"/>
              <w:right w:val="single" w:sz="5" w:space="0" w:color="000000"/>
            </w:tcBorders>
          </w:tcPr>
          <w:p w14:paraId="6701E7FA" w14:textId="77777777" w:rsidR="009D4674" w:rsidRDefault="009D4674" w:rsidP="00EC639D">
            <w:pPr>
              <w:jc w:val="both"/>
            </w:pPr>
            <w:r>
              <w:rPr>
                <w:rFonts w:ascii="Arial" w:eastAsia="Arial" w:hAnsi="Arial" w:cs="Arial"/>
                <w:sz w:val="16"/>
              </w:rPr>
              <w:t>EINECS</w:t>
            </w:r>
          </w:p>
        </w:tc>
        <w:tc>
          <w:tcPr>
            <w:tcW w:w="2998" w:type="dxa"/>
            <w:tcBorders>
              <w:top w:val="single" w:sz="2" w:space="0" w:color="000000"/>
              <w:left w:val="single" w:sz="5" w:space="0" w:color="000000"/>
              <w:bottom w:val="single" w:sz="2" w:space="0" w:color="000000"/>
              <w:right w:val="single" w:sz="5" w:space="0" w:color="000000"/>
            </w:tcBorders>
          </w:tcPr>
          <w:p w14:paraId="4F2D4028" w14:textId="77777777" w:rsidR="009D4674" w:rsidRDefault="009D4674" w:rsidP="00EC639D">
            <w:pPr>
              <w:ind w:right="1"/>
              <w:jc w:val="center"/>
            </w:pPr>
            <w:r>
              <w:rPr>
                <w:rFonts w:ascii="Arial" w:eastAsia="Arial" w:hAnsi="Arial" w:cs="Arial"/>
                <w:sz w:val="16"/>
              </w:rPr>
              <w:t>Symbole de danger</w:t>
            </w:r>
          </w:p>
        </w:tc>
        <w:tc>
          <w:tcPr>
            <w:tcW w:w="1317" w:type="dxa"/>
            <w:tcBorders>
              <w:top w:val="single" w:sz="2" w:space="0" w:color="000000"/>
              <w:left w:val="single" w:sz="5" w:space="0" w:color="000000"/>
              <w:bottom w:val="single" w:sz="2" w:space="0" w:color="000000"/>
              <w:right w:val="single" w:sz="2" w:space="0" w:color="000000"/>
            </w:tcBorders>
          </w:tcPr>
          <w:p w14:paraId="16030C4F" w14:textId="77777777" w:rsidR="009D4674" w:rsidRDefault="009D4674" w:rsidP="00EC639D">
            <w:pPr>
              <w:ind w:left="24"/>
            </w:pPr>
            <w:r>
              <w:rPr>
                <w:rFonts w:ascii="Arial" w:eastAsia="Arial" w:hAnsi="Arial" w:cs="Arial"/>
                <w:sz w:val="16"/>
              </w:rPr>
              <w:t>Pourcentage %</w:t>
            </w:r>
          </w:p>
        </w:tc>
      </w:tr>
      <w:tr w:rsidR="009D4674" w14:paraId="0A27BAB9" w14:textId="77777777" w:rsidTr="00EC639D">
        <w:trPr>
          <w:trHeight w:val="663"/>
        </w:trPr>
        <w:tc>
          <w:tcPr>
            <w:tcW w:w="3513" w:type="dxa"/>
            <w:tcBorders>
              <w:top w:val="single" w:sz="2" w:space="0" w:color="C0C0C0"/>
              <w:left w:val="single" w:sz="2" w:space="0" w:color="C0C0C0"/>
              <w:bottom w:val="double" w:sz="3" w:space="0" w:color="C0C0C0"/>
              <w:right w:val="single" w:sz="5" w:space="0" w:color="C0C0C0"/>
            </w:tcBorders>
          </w:tcPr>
          <w:p w14:paraId="16D93A12" w14:textId="77777777" w:rsidR="009D4674" w:rsidRPr="002B2A8B" w:rsidRDefault="009D4674" w:rsidP="00EC639D">
            <w:pPr>
              <w:ind w:right="195"/>
              <w:jc w:val="both"/>
              <w:rPr>
                <w:lang w:val="en-US"/>
              </w:rPr>
            </w:pPr>
            <w:r w:rsidRPr="002B2A8B">
              <w:rPr>
                <w:rFonts w:ascii="Arial" w:eastAsia="Arial" w:hAnsi="Arial" w:cs="Arial"/>
                <w:sz w:val="16"/>
                <w:lang w:val="en-US"/>
              </w:rPr>
              <w:t>3,7-dimethylocta-1,6-dien-3-yl acetate (linalyl acetate)   (No REACH : 01-2119454789-19-XXXX)</w:t>
            </w:r>
          </w:p>
        </w:tc>
        <w:tc>
          <w:tcPr>
            <w:tcW w:w="990" w:type="dxa"/>
            <w:tcBorders>
              <w:top w:val="single" w:sz="2" w:space="0" w:color="C0C0C0"/>
              <w:left w:val="single" w:sz="5" w:space="0" w:color="C0C0C0"/>
              <w:bottom w:val="double" w:sz="3" w:space="0" w:color="C0C0C0"/>
              <w:right w:val="single" w:sz="5" w:space="0" w:color="C0C0C0"/>
            </w:tcBorders>
            <w:vAlign w:val="center"/>
          </w:tcPr>
          <w:p w14:paraId="26957CD0" w14:textId="77777777" w:rsidR="009D4674" w:rsidRDefault="009D4674" w:rsidP="00EC639D">
            <w:pPr>
              <w:ind w:right="42"/>
              <w:jc w:val="center"/>
            </w:pPr>
            <w:r>
              <w:rPr>
                <w:rFonts w:ascii="Arial" w:eastAsia="Arial" w:hAnsi="Arial" w:cs="Arial"/>
                <w:sz w:val="14"/>
              </w:rPr>
              <w:t>115-95-7</w:t>
            </w:r>
          </w:p>
        </w:tc>
        <w:tc>
          <w:tcPr>
            <w:tcW w:w="780" w:type="dxa"/>
            <w:tcBorders>
              <w:top w:val="single" w:sz="2" w:space="0" w:color="C0C0C0"/>
              <w:left w:val="single" w:sz="5" w:space="0" w:color="C0C0C0"/>
              <w:bottom w:val="double" w:sz="3" w:space="0" w:color="C0C0C0"/>
              <w:right w:val="single" w:sz="5" w:space="0" w:color="C0C0C0"/>
            </w:tcBorders>
            <w:vAlign w:val="center"/>
          </w:tcPr>
          <w:p w14:paraId="4FE1FAD9" w14:textId="77777777" w:rsidR="009D4674" w:rsidRDefault="009D4674" w:rsidP="00EC639D">
            <w:pPr>
              <w:ind w:left="15"/>
            </w:pPr>
            <w:r>
              <w:rPr>
                <w:rFonts w:ascii="Arial" w:eastAsia="Arial" w:hAnsi="Arial" w:cs="Arial"/>
                <w:sz w:val="14"/>
              </w:rPr>
              <w:t>204-116-4</w:t>
            </w:r>
          </w:p>
        </w:tc>
        <w:tc>
          <w:tcPr>
            <w:tcW w:w="2998" w:type="dxa"/>
            <w:tcBorders>
              <w:top w:val="single" w:sz="2" w:space="0" w:color="C0C0C0"/>
              <w:left w:val="single" w:sz="5" w:space="0" w:color="C0C0C0"/>
              <w:bottom w:val="double" w:sz="3" w:space="0" w:color="C0C0C0"/>
              <w:right w:val="single" w:sz="5" w:space="0" w:color="C0C0C0"/>
            </w:tcBorders>
            <w:vAlign w:val="center"/>
          </w:tcPr>
          <w:p w14:paraId="2B613505" w14:textId="77777777" w:rsidR="009D4674" w:rsidRDefault="009D4674" w:rsidP="00EC639D">
            <w:pPr>
              <w:ind w:left="3"/>
              <w:jc w:val="both"/>
            </w:pPr>
            <w:r>
              <w:rPr>
                <w:rFonts w:ascii="Arial" w:eastAsia="Arial" w:hAnsi="Arial" w:cs="Arial"/>
                <w:sz w:val="16"/>
              </w:rPr>
              <w:t xml:space="preserve">Eye Irrit. 2, Skin Irrit. 2, Skin Sens. 1B - </w:t>
            </w:r>
          </w:p>
          <w:p w14:paraId="4B3BC0A8" w14:textId="77777777" w:rsidR="009D4674" w:rsidRDefault="009D4674" w:rsidP="00EC639D">
            <w:pPr>
              <w:ind w:left="3"/>
            </w:pPr>
            <w:r>
              <w:rPr>
                <w:rFonts w:ascii="Arial" w:eastAsia="Arial" w:hAnsi="Arial" w:cs="Arial"/>
                <w:sz w:val="16"/>
              </w:rPr>
              <w:t>H315, H317, H319</w:t>
            </w:r>
          </w:p>
        </w:tc>
        <w:tc>
          <w:tcPr>
            <w:tcW w:w="1317" w:type="dxa"/>
            <w:tcBorders>
              <w:top w:val="single" w:sz="2" w:space="0" w:color="C0C0C0"/>
              <w:left w:val="single" w:sz="5" w:space="0" w:color="C0C0C0"/>
              <w:bottom w:val="double" w:sz="3" w:space="0" w:color="C0C0C0"/>
              <w:right w:val="single" w:sz="2" w:space="0" w:color="C0C0C0"/>
            </w:tcBorders>
            <w:vAlign w:val="center"/>
          </w:tcPr>
          <w:p w14:paraId="4E5ABD94" w14:textId="080903A7" w:rsidR="009D4674" w:rsidRDefault="009D4674" w:rsidP="00EC639D">
            <w:pPr>
              <w:ind w:right="40"/>
              <w:jc w:val="center"/>
            </w:pPr>
            <w:r>
              <w:rPr>
                <w:rFonts w:ascii="Arial" w:eastAsia="Arial" w:hAnsi="Arial" w:cs="Arial"/>
                <w:sz w:val="16"/>
              </w:rPr>
              <w:t>2</w:t>
            </w:r>
          </w:p>
        </w:tc>
      </w:tr>
      <w:tr w:rsidR="009D4674" w14:paraId="2B2D6C8B" w14:textId="77777777" w:rsidTr="00EC639D">
        <w:trPr>
          <w:trHeight w:val="858"/>
        </w:trPr>
        <w:tc>
          <w:tcPr>
            <w:tcW w:w="3513" w:type="dxa"/>
            <w:tcBorders>
              <w:top w:val="double" w:sz="3" w:space="0" w:color="C0C0C0"/>
              <w:left w:val="single" w:sz="2" w:space="0" w:color="C0C0C0"/>
              <w:bottom w:val="double" w:sz="3" w:space="0" w:color="C0C0C0"/>
              <w:right w:val="single" w:sz="5" w:space="0" w:color="C0C0C0"/>
            </w:tcBorders>
            <w:vAlign w:val="center"/>
          </w:tcPr>
          <w:p w14:paraId="31330A86" w14:textId="77777777" w:rsidR="009D4674" w:rsidRPr="002B2A8B" w:rsidRDefault="009D4674" w:rsidP="00EC639D">
            <w:pPr>
              <w:rPr>
                <w:lang w:val="en-US"/>
              </w:rPr>
            </w:pPr>
            <w:r w:rsidRPr="002B2A8B">
              <w:rPr>
                <w:rFonts w:ascii="Arial" w:eastAsia="Arial" w:hAnsi="Arial" w:cs="Arial"/>
                <w:sz w:val="16"/>
                <w:lang w:val="en-US"/>
              </w:rPr>
              <w:t>(4R)-1-methyl-4-prop-1-en-2-ylcyclohexene (dextro-limonene)   (No REACH : 01-2119529223-47-XXXX)</w:t>
            </w:r>
          </w:p>
        </w:tc>
        <w:tc>
          <w:tcPr>
            <w:tcW w:w="990" w:type="dxa"/>
            <w:tcBorders>
              <w:top w:val="double" w:sz="3" w:space="0" w:color="C0C0C0"/>
              <w:left w:val="single" w:sz="5" w:space="0" w:color="C0C0C0"/>
              <w:bottom w:val="double" w:sz="3" w:space="0" w:color="C0C0C0"/>
              <w:right w:val="single" w:sz="5" w:space="0" w:color="C0C0C0"/>
            </w:tcBorders>
            <w:vAlign w:val="center"/>
          </w:tcPr>
          <w:p w14:paraId="0E277CD1" w14:textId="77777777" w:rsidR="009D4674" w:rsidRDefault="009D4674" w:rsidP="00EC639D">
            <w:pPr>
              <w:ind w:right="42"/>
              <w:jc w:val="center"/>
            </w:pPr>
            <w:r>
              <w:rPr>
                <w:rFonts w:ascii="Arial" w:eastAsia="Arial" w:hAnsi="Arial" w:cs="Arial"/>
                <w:sz w:val="14"/>
              </w:rPr>
              <w:t>5989-27-5</w:t>
            </w:r>
          </w:p>
        </w:tc>
        <w:tc>
          <w:tcPr>
            <w:tcW w:w="780" w:type="dxa"/>
            <w:tcBorders>
              <w:top w:val="double" w:sz="3" w:space="0" w:color="C0C0C0"/>
              <w:left w:val="single" w:sz="5" w:space="0" w:color="C0C0C0"/>
              <w:bottom w:val="double" w:sz="3" w:space="0" w:color="C0C0C0"/>
              <w:right w:val="single" w:sz="5" w:space="0" w:color="C0C0C0"/>
            </w:tcBorders>
            <w:vAlign w:val="center"/>
          </w:tcPr>
          <w:p w14:paraId="1BEC1201" w14:textId="77777777" w:rsidR="009D4674" w:rsidRDefault="009D4674" w:rsidP="00EC639D">
            <w:pPr>
              <w:ind w:left="15"/>
            </w:pPr>
            <w:r>
              <w:rPr>
                <w:rFonts w:ascii="Arial" w:eastAsia="Arial" w:hAnsi="Arial" w:cs="Arial"/>
                <w:sz w:val="14"/>
              </w:rPr>
              <w:t>227-813-5</w:t>
            </w:r>
          </w:p>
        </w:tc>
        <w:tc>
          <w:tcPr>
            <w:tcW w:w="2998" w:type="dxa"/>
            <w:tcBorders>
              <w:top w:val="double" w:sz="3" w:space="0" w:color="C0C0C0"/>
              <w:left w:val="single" w:sz="5" w:space="0" w:color="C0C0C0"/>
              <w:bottom w:val="double" w:sz="3" w:space="0" w:color="C0C0C0"/>
              <w:right w:val="single" w:sz="5" w:space="0" w:color="C0C0C0"/>
            </w:tcBorders>
          </w:tcPr>
          <w:p w14:paraId="4A7B6D0E" w14:textId="77777777" w:rsidR="009D4674" w:rsidRPr="002B2A8B" w:rsidRDefault="009D4674" w:rsidP="00EC639D">
            <w:pPr>
              <w:ind w:left="3"/>
              <w:rPr>
                <w:lang w:val="en-US"/>
              </w:rPr>
            </w:pPr>
            <w:r w:rsidRPr="002B2A8B">
              <w:rPr>
                <w:rFonts w:ascii="Arial" w:eastAsia="Arial" w:hAnsi="Arial" w:cs="Arial"/>
                <w:sz w:val="16"/>
                <w:lang w:val="en-US"/>
              </w:rPr>
              <w:t xml:space="preserve">Asp. Tox. 1, Eye Irrit. 2, Aquatic Acute </w:t>
            </w:r>
          </w:p>
          <w:p w14:paraId="7C1390DE" w14:textId="77777777" w:rsidR="009D4674" w:rsidRPr="002B2A8B" w:rsidRDefault="009D4674" w:rsidP="00EC639D">
            <w:pPr>
              <w:ind w:left="3"/>
              <w:rPr>
                <w:lang w:val="en-US"/>
              </w:rPr>
            </w:pPr>
            <w:r w:rsidRPr="002B2A8B">
              <w:rPr>
                <w:rFonts w:ascii="Arial" w:eastAsia="Arial" w:hAnsi="Arial" w:cs="Arial"/>
                <w:sz w:val="16"/>
                <w:lang w:val="en-US"/>
              </w:rPr>
              <w:t xml:space="preserve">1, Aquatic Chronic 3, Flam. Liq. 3, Skin </w:t>
            </w:r>
          </w:p>
          <w:p w14:paraId="15A98C3D" w14:textId="77777777" w:rsidR="009D4674" w:rsidRDefault="009D4674" w:rsidP="00EC639D">
            <w:pPr>
              <w:ind w:left="3"/>
            </w:pPr>
            <w:r w:rsidRPr="002B2A8B">
              <w:rPr>
                <w:rFonts w:ascii="Arial" w:eastAsia="Arial" w:hAnsi="Arial" w:cs="Arial"/>
                <w:sz w:val="16"/>
                <w:lang w:val="en-US"/>
              </w:rPr>
              <w:t xml:space="preserve">Irrit. </w:t>
            </w:r>
            <w:r>
              <w:rPr>
                <w:rFonts w:ascii="Arial" w:eastAsia="Arial" w:hAnsi="Arial" w:cs="Arial"/>
                <w:sz w:val="16"/>
              </w:rPr>
              <w:t xml:space="preserve">2, Skin Sens. 1 - H226, H304, </w:t>
            </w:r>
          </w:p>
          <w:p w14:paraId="2475AFBE" w14:textId="77777777" w:rsidR="009D4674" w:rsidRDefault="009D4674" w:rsidP="00EC639D">
            <w:pPr>
              <w:ind w:left="3"/>
            </w:pPr>
            <w:r>
              <w:rPr>
                <w:rFonts w:ascii="Arial" w:eastAsia="Arial" w:hAnsi="Arial" w:cs="Arial"/>
                <w:sz w:val="16"/>
              </w:rPr>
              <w:t>H315, H317, H319, H400, H412</w:t>
            </w:r>
          </w:p>
        </w:tc>
        <w:tc>
          <w:tcPr>
            <w:tcW w:w="1317" w:type="dxa"/>
            <w:tcBorders>
              <w:top w:val="double" w:sz="3" w:space="0" w:color="C0C0C0"/>
              <w:left w:val="single" w:sz="5" w:space="0" w:color="C0C0C0"/>
              <w:bottom w:val="double" w:sz="3" w:space="0" w:color="C0C0C0"/>
              <w:right w:val="single" w:sz="2" w:space="0" w:color="C0C0C0"/>
            </w:tcBorders>
            <w:vAlign w:val="center"/>
          </w:tcPr>
          <w:p w14:paraId="51E3CC9C" w14:textId="43403A8A" w:rsidR="009D4674" w:rsidRDefault="009D4674" w:rsidP="00EC639D">
            <w:pPr>
              <w:ind w:right="31"/>
              <w:jc w:val="center"/>
            </w:pPr>
            <w:r>
              <w:rPr>
                <w:rFonts w:ascii="Arial" w:eastAsia="Arial" w:hAnsi="Arial" w:cs="Arial"/>
                <w:sz w:val="16"/>
              </w:rPr>
              <w:t>1</w:t>
            </w:r>
          </w:p>
        </w:tc>
      </w:tr>
      <w:tr w:rsidR="009D4674" w14:paraId="45FB6C3B" w14:textId="77777777" w:rsidTr="00EC639D">
        <w:trPr>
          <w:trHeight w:val="672"/>
        </w:trPr>
        <w:tc>
          <w:tcPr>
            <w:tcW w:w="3513" w:type="dxa"/>
            <w:tcBorders>
              <w:top w:val="double" w:sz="3" w:space="0" w:color="C0C0C0"/>
              <w:left w:val="single" w:sz="2" w:space="0" w:color="C0C0C0"/>
              <w:bottom w:val="double" w:sz="3" w:space="0" w:color="C0C0C0"/>
              <w:right w:val="single" w:sz="5" w:space="0" w:color="C0C0C0"/>
            </w:tcBorders>
          </w:tcPr>
          <w:p w14:paraId="08A9CB3E" w14:textId="77777777" w:rsidR="009D4674" w:rsidRPr="002B2A8B" w:rsidRDefault="009D4674" w:rsidP="00EC639D">
            <w:pPr>
              <w:rPr>
                <w:lang w:val="en-US"/>
              </w:rPr>
            </w:pPr>
            <w:r w:rsidRPr="002B2A8B">
              <w:rPr>
                <w:rFonts w:ascii="Arial" w:eastAsia="Arial" w:hAnsi="Arial" w:cs="Arial"/>
                <w:sz w:val="16"/>
                <w:lang w:val="en-US"/>
              </w:rPr>
              <w:t>3a,4,5,6,7,7a-hexahydro-1H-4,7-methanoinden1-yl propanoate (cyclaprop)   (No REACH : 01-2119969447-21-XXXX)</w:t>
            </w:r>
          </w:p>
        </w:tc>
        <w:tc>
          <w:tcPr>
            <w:tcW w:w="990" w:type="dxa"/>
            <w:tcBorders>
              <w:top w:val="double" w:sz="3" w:space="0" w:color="C0C0C0"/>
              <w:left w:val="single" w:sz="5" w:space="0" w:color="C0C0C0"/>
              <w:bottom w:val="double" w:sz="3" w:space="0" w:color="C0C0C0"/>
              <w:right w:val="single" w:sz="5" w:space="0" w:color="C0C0C0"/>
            </w:tcBorders>
            <w:vAlign w:val="center"/>
          </w:tcPr>
          <w:p w14:paraId="74E6CC95" w14:textId="77777777" w:rsidR="009D4674" w:rsidRDefault="009D4674" w:rsidP="00EC639D">
            <w:pPr>
              <w:ind w:left="83"/>
            </w:pPr>
            <w:r>
              <w:rPr>
                <w:rFonts w:ascii="Arial" w:eastAsia="Arial" w:hAnsi="Arial" w:cs="Arial"/>
                <w:sz w:val="14"/>
              </w:rPr>
              <w:t>68912-13-0</w:t>
            </w:r>
          </w:p>
        </w:tc>
        <w:tc>
          <w:tcPr>
            <w:tcW w:w="780" w:type="dxa"/>
            <w:tcBorders>
              <w:top w:val="double" w:sz="3" w:space="0" w:color="C0C0C0"/>
              <w:left w:val="single" w:sz="5" w:space="0" w:color="C0C0C0"/>
              <w:bottom w:val="double" w:sz="3" w:space="0" w:color="C0C0C0"/>
              <w:right w:val="single" w:sz="5" w:space="0" w:color="C0C0C0"/>
            </w:tcBorders>
            <w:vAlign w:val="center"/>
          </w:tcPr>
          <w:p w14:paraId="55435FC5" w14:textId="77777777" w:rsidR="009D4674" w:rsidRDefault="009D4674" w:rsidP="00EC639D">
            <w:pPr>
              <w:ind w:left="15"/>
            </w:pPr>
            <w:r>
              <w:rPr>
                <w:rFonts w:ascii="Arial" w:eastAsia="Arial" w:hAnsi="Arial" w:cs="Arial"/>
                <w:sz w:val="14"/>
              </w:rPr>
              <w:t>272-805-7</w:t>
            </w:r>
          </w:p>
        </w:tc>
        <w:tc>
          <w:tcPr>
            <w:tcW w:w="2998" w:type="dxa"/>
            <w:tcBorders>
              <w:top w:val="double" w:sz="3" w:space="0" w:color="C0C0C0"/>
              <w:left w:val="single" w:sz="5" w:space="0" w:color="C0C0C0"/>
              <w:bottom w:val="double" w:sz="3" w:space="0" w:color="C0C0C0"/>
              <w:right w:val="single" w:sz="5" w:space="0" w:color="C0C0C0"/>
            </w:tcBorders>
            <w:vAlign w:val="center"/>
          </w:tcPr>
          <w:p w14:paraId="14BDFB49" w14:textId="77777777" w:rsidR="009D4674" w:rsidRDefault="009D4674" w:rsidP="00EC639D">
            <w:pPr>
              <w:ind w:left="3"/>
            </w:pPr>
            <w:r>
              <w:rPr>
                <w:rFonts w:ascii="Arial" w:eastAsia="Arial" w:hAnsi="Arial" w:cs="Arial"/>
                <w:sz w:val="16"/>
              </w:rPr>
              <w:t>Aquatic Chronic 2 - H411</w:t>
            </w:r>
          </w:p>
        </w:tc>
        <w:tc>
          <w:tcPr>
            <w:tcW w:w="1317" w:type="dxa"/>
            <w:tcBorders>
              <w:top w:val="double" w:sz="3" w:space="0" w:color="C0C0C0"/>
              <w:left w:val="single" w:sz="5" w:space="0" w:color="C0C0C0"/>
              <w:bottom w:val="double" w:sz="3" w:space="0" w:color="C0C0C0"/>
              <w:right w:val="single" w:sz="2" w:space="0" w:color="C0C0C0"/>
            </w:tcBorders>
            <w:vAlign w:val="center"/>
          </w:tcPr>
          <w:p w14:paraId="575DD684" w14:textId="6C8A6F92" w:rsidR="009D4674" w:rsidRDefault="009D4674" w:rsidP="00EC639D">
            <w:pPr>
              <w:ind w:right="31"/>
              <w:jc w:val="center"/>
            </w:pPr>
            <w:r>
              <w:rPr>
                <w:rFonts w:ascii="Arial" w:eastAsia="Arial" w:hAnsi="Arial" w:cs="Arial"/>
                <w:sz w:val="16"/>
              </w:rPr>
              <w:t>1</w:t>
            </w:r>
          </w:p>
        </w:tc>
      </w:tr>
      <w:tr w:rsidR="009D4674" w14:paraId="043C39B8" w14:textId="77777777" w:rsidTr="00EC639D">
        <w:trPr>
          <w:trHeight w:val="675"/>
        </w:trPr>
        <w:tc>
          <w:tcPr>
            <w:tcW w:w="3513" w:type="dxa"/>
            <w:tcBorders>
              <w:top w:val="double" w:sz="3" w:space="0" w:color="C0C0C0"/>
              <w:left w:val="single" w:sz="2" w:space="0" w:color="C0C0C0"/>
              <w:bottom w:val="double" w:sz="3" w:space="0" w:color="C0C0C0"/>
              <w:right w:val="single" w:sz="5" w:space="0" w:color="C0C0C0"/>
            </w:tcBorders>
            <w:vAlign w:val="center"/>
          </w:tcPr>
          <w:p w14:paraId="5973EAF3" w14:textId="77777777" w:rsidR="009D4674" w:rsidRDefault="009D4674" w:rsidP="00EC639D">
            <w:r>
              <w:rPr>
                <w:rFonts w:ascii="Arial" w:eastAsia="Arial" w:hAnsi="Arial" w:cs="Arial"/>
                <w:sz w:val="16"/>
              </w:rPr>
              <w:lastRenderedPageBreak/>
              <w:t xml:space="preserve">2,4-dimethylcyclohex-3-ene-1-carbaldehyde </w:t>
            </w:r>
          </w:p>
          <w:p w14:paraId="4F094C1C" w14:textId="77777777" w:rsidR="009D4674" w:rsidRDefault="009D4674" w:rsidP="00EC639D">
            <w:r>
              <w:rPr>
                <w:rFonts w:ascii="Arial" w:eastAsia="Arial" w:hAnsi="Arial" w:cs="Arial"/>
                <w:sz w:val="16"/>
              </w:rPr>
              <w:t>(vertocitral)   (No REACH : Exempté (&lt;1T/an))</w:t>
            </w:r>
          </w:p>
        </w:tc>
        <w:tc>
          <w:tcPr>
            <w:tcW w:w="990" w:type="dxa"/>
            <w:tcBorders>
              <w:top w:val="double" w:sz="3" w:space="0" w:color="C0C0C0"/>
              <w:left w:val="single" w:sz="5" w:space="0" w:color="C0C0C0"/>
              <w:bottom w:val="double" w:sz="3" w:space="0" w:color="C0C0C0"/>
              <w:right w:val="single" w:sz="5" w:space="0" w:color="C0C0C0"/>
            </w:tcBorders>
            <w:vAlign w:val="center"/>
          </w:tcPr>
          <w:p w14:paraId="32B9B43A" w14:textId="77777777" w:rsidR="009D4674" w:rsidRDefault="009D4674" w:rsidP="00EC639D">
            <w:pPr>
              <w:ind w:left="83"/>
            </w:pPr>
            <w:r>
              <w:rPr>
                <w:rFonts w:ascii="Arial" w:eastAsia="Arial" w:hAnsi="Arial" w:cs="Arial"/>
                <w:sz w:val="14"/>
              </w:rPr>
              <w:t>68039-49-6</w:t>
            </w:r>
          </w:p>
        </w:tc>
        <w:tc>
          <w:tcPr>
            <w:tcW w:w="780" w:type="dxa"/>
            <w:tcBorders>
              <w:top w:val="double" w:sz="3" w:space="0" w:color="C0C0C0"/>
              <w:left w:val="single" w:sz="5" w:space="0" w:color="C0C0C0"/>
              <w:bottom w:val="double" w:sz="3" w:space="0" w:color="C0C0C0"/>
              <w:right w:val="single" w:sz="5" w:space="0" w:color="C0C0C0"/>
            </w:tcBorders>
            <w:vAlign w:val="center"/>
          </w:tcPr>
          <w:p w14:paraId="1943D7AF" w14:textId="77777777" w:rsidR="009D4674" w:rsidRDefault="009D4674" w:rsidP="00EC639D">
            <w:pPr>
              <w:ind w:left="15"/>
            </w:pPr>
            <w:r>
              <w:rPr>
                <w:rFonts w:ascii="Arial" w:eastAsia="Arial" w:hAnsi="Arial" w:cs="Arial"/>
                <w:sz w:val="14"/>
              </w:rPr>
              <w:t>268-264-1</w:t>
            </w:r>
          </w:p>
        </w:tc>
        <w:tc>
          <w:tcPr>
            <w:tcW w:w="2998" w:type="dxa"/>
            <w:tcBorders>
              <w:top w:val="double" w:sz="3" w:space="0" w:color="C0C0C0"/>
              <w:left w:val="single" w:sz="5" w:space="0" w:color="C0C0C0"/>
              <w:bottom w:val="double" w:sz="3" w:space="0" w:color="C0C0C0"/>
              <w:right w:val="single" w:sz="5" w:space="0" w:color="C0C0C0"/>
            </w:tcBorders>
          </w:tcPr>
          <w:p w14:paraId="5AB61A68" w14:textId="77777777" w:rsidR="009D4674" w:rsidRPr="002B2A8B" w:rsidRDefault="009D4674" w:rsidP="00EC639D">
            <w:pPr>
              <w:ind w:left="3"/>
              <w:rPr>
                <w:lang w:val="en-US"/>
              </w:rPr>
            </w:pPr>
            <w:r w:rsidRPr="002B2A8B">
              <w:rPr>
                <w:rFonts w:ascii="Arial" w:eastAsia="Arial" w:hAnsi="Arial" w:cs="Arial"/>
                <w:sz w:val="16"/>
                <w:lang w:val="en-US"/>
              </w:rPr>
              <w:t xml:space="preserve">Eye Irrit. 2, Aquatic Chronic 2, Skin </w:t>
            </w:r>
          </w:p>
          <w:p w14:paraId="171FECB6" w14:textId="77777777" w:rsidR="009D4674" w:rsidRDefault="009D4674" w:rsidP="00EC639D">
            <w:pPr>
              <w:ind w:left="3"/>
            </w:pPr>
            <w:r w:rsidRPr="002B2A8B">
              <w:rPr>
                <w:rFonts w:ascii="Arial" w:eastAsia="Arial" w:hAnsi="Arial" w:cs="Arial"/>
                <w:sz w:val="16"/>
                <w:lang w:val="en-US"/>
              </w:rPr>
              <w:t xml:space="preserve">Irrit. </w:t>
            </w:r>
            <w:r>
              <w:rPr>
                <w:rFonts w:ascii="Arial" w:eastAsia="Arial" w:hAnsi="Arial" w:cs="Arial"/>
                <w:sz w:val="16"/>
              </w:rPr>
              <w:t xml:space="preserve">2, Skin Sens. 1B - H315, H317, </w:t>
            </w:r>
          </w:p>
          <w:p w14:paraId="3EC8CF4B" w14:textId="77777777" w:rsidR="009D4674" w:rsidRDefault="009D4674" w:rsidP="00EC639D">
            <w:pPr>
              <w:ind w:left="3"/>
            </w:pPr>
            <w:r>
              <w:rPr>
                <w:rFonts w:ascii="Arial" w:eastAsia="Arial" w:hAnsi="Arial" w:cs="Arial"/>
                <w:sz w:val="16"/>
              </w:rPr>
              <w:t>H319, H411</w:t>
            </w:r>
          </w:p>
        </w:tc>
        <w:tc>
          <w:tcPr>
            <w:tcW w:w="1317" w:type="dxa"/>
            <w:tcBorders>
              <w:top w:val="double" w:sz="3" w:space="0" w:color="C0C0C0"/>
              <w:left w:val="single" w:sz="5" w:space="0" w:color="C0C0C0"/>
              <w:bottom w:val="double" w:sz="3" w:space="0" w:color="C0C0C0"/>
              <w:right w:val="single" w:sz="2" w:space="0" w:color="C0C0C0"/>
            </w:tcBorders>
            <w:vAlign w:val="center"/>
          </w:tcPr>
          <w:p w14:paraId="38C54D88" w14:textId="2E65F735" w:rsidR="009D4674" w:rsidRDefault="009D4674" w:rsidP="00EC639D">
            <w:pPr>
              <w:ind w:right="40"/>
              <w:jc w:val="center"/>
            </w:pPr>
            <w:r>
              <w:rPr>
                <w:rFonts w:ascii="Arial" w:eastAsia="Arial" w:hAnsi="Arial" w:cs="Arial"/>
                <w:sz w:val="16"/>
              </w:rPr>
              <w:t>0.5</w:t>
            </w:r>
          </w:p>
        </w:tc>
      </w:tr>
      <w:tr w:rsidR="009D4674" w14:paraId="2D2E6E04" w14:textId="77777777" w:rsidTr="00EC639D">
        <w:trPr>
          <w:trHeight w:val="858"/>
        </w:trPr>
        <w:tc>
          <w:tcPr>
            <w:tcW w:w="3513" w:type="dxa"/>
            <w:tcBorders>
              <w:top w:val="double" w:sz="3" w:space="0" w:color="C0C0C0"/>
              <w:left w:val="single" w:sz="2" w:space="0" w:color="C0C0C0"/>
              <w:bottom w:val="double" w:sz="3" w:space="0" w:color="C0C0C0"/>
              <w:right w:val="single" w:sz="5" w:space="0" w:color="C0C0C0"/>
            </w:tcBorders>
            <w:vAlign w:val="center"/>
          </w:tcPr>
          <w:p w14:paraId="157EFD1F" w14:textId="77777777" w:rsidR="009D4674" w:rsidRPr="009D4674" w:rsidRDefault="009D4674" w:rsidP="00EC639D">
            <w:pPr>
              <w:rPr>
                <w:lang w:val="it-IT"/>
              </w:rPr>
            </w:pPr>
            <w:r w:rsidRPr="009D4674">
              <w:rPr>
                <w:rFonts w:ascii="Arial" w:eastAsia="Arial" w:hAnsi="Arial" w:cs="Arial"/>
                <w:sz w:val="16"/>
                <w:lang w:val="it-IT"/>
              </w:rPr>
              <w:t>3,7,7-trimethylbicyclo[4.1.0]hept-3-ene (delta-3-carene)   (No REACH : 01-2119520252-55-0000)</w:t>
            </w:r>
          </w:p>
        </w:tc>
        <w:tc>
          <w:tcPr>
            <w:tcW w:w="990" w:type="dxa"/>
            <w:tcBorders>
              <w:top w:val="double" w:sz="3" w:space="0" w:color="C0C0C0"/>
              <w:left w:val="single" w:sz="5" w:space="0" w:color="C0C0C0"/>
              <w:bottom w:val="double" w:sz="3" w:space="0" w:color="C0C0C0"/>
              <w:right w:val="single" w:sz="5" w:space="0" w:color="C0C0C0"/>
            </w:tcBorders>
            <w:vAlign w:val="center"/>
          </w:tcPr>
          <w:p w14:paraId="43C1475B" w14:textId="77777777" w:rsidR="009D4674" w:rsidRDefault="009D4674" w:rsidP="00EC639D">
            <w:pPr>
              <w:ind w:left="83"/>
            </w:pPr>
            <w:r>
              <w:rPr>
                <w:rFonts w:ascii="Arial" w:eastAsia="Arial" w:hAnsi="Arial" w:cs="Arial"/>
                <w:sz w:val="14"/>
              </w:rPr>
              <w:t>13466-78-9</w:t>
            </w:r>
          </w:p>
        </w:tc>
        <w:tc>
          <w:tcPr>
            <w:tcW w:w="780" w:type="dxa"/>
            <w:tcBorders>
              <w:top w:val="double" w:sz="3" w:space="0" w:color="C0C0C0"/>
              <w:left w:val="single" w:sz="5" w:space="0" w:color="C0C0C0"/>
              <w:bottom w:val="double" w:sz="3" w:space="0" w:color="C0C0C0"/>
              <w:right w:val="single" w:sz="5" w:space="0" w:color="C0C0C0"/>
            </w:tcBorders>
            <w:vAlign w:val="center"/>
          </w:tcPr>
          <w:p w14:paraId="68DB57A1" w14:textId="77777777" w:rsidR="009D4674" w:rsidRDefault="009D4674" w:rsidP="00EC639D">
            <w:pPr>
              <w:ind w:left="15"/>
            </w:pPr>
            <w:r>
              <w:rPr>
                <w:rFonts w:ascii="Arial" w:eastAsia="Arial" w:hAnsi="Arial" w:cs="Arial"/>
                <w:sz w:val="14"/>
              </w:rPr>
              <w:t>236-719-3</w:t>
            </w:r>
          </w:p>
        </w:tc>
        <w:tc>
          <w:tcPr>
            <w:tcW w:w="2998" w:type="dxa"/>
            <w:tcBorders>
              <w:top w:val="double" w:sz="3" w:space="0" w:color="C0C0C0"/>
              <w:left w:val="single" w:sz="5" w:space="0" w:color="C0C0C0"/>
              <w:bottom w:val="double" w:sz="3" w:space="0" w:color="C0C0C0"/>
              <w:right w:val="single" w:sz="5" w:space="0" w:color="C0C0C0"/>
            </w:tcBorders>
          </w:tcPr>
          <w:p w14:paraId="41BDB911" w14:textId="77777777" w:rsidR="009D4674" w:rsidRPr="002B2A8B" w:rsidRDefault="009D4674" w:rsidP="00EC639D">
            <w:pPr>
              <w:ind w:left="3"/>
              <w:rPr>
                <w:lang w:val="en-US"/>
              </w:rPr>
            </w:pPr>
            <w:r w:rsidRPr="002B2A8B">
              <w:rPr>
                <w:rFonts w:ascii="Arial" w:eastAsia="Arial" w:hAnsi="Arial" w:cs="Arial"/>
                <w:sz w:val="16"/>
                <w:lang w:val="en-US"/>
              </w:rPr>
              <w:t xml:space="preserve">Asp. Tox. 1, Acute Tox. 4, Eye Irrit. 2, </w:t>
            </w:r>
          </w:p>
          <w:p w14:paraId="2671AB80" w14:textId="77777777" w:rsidR="009D4674" w:rsidRPr="002B2A8B" w:rsidRDefault="009D4674" w:rsidP="00EC639D">
            <w:pPr>
              <w:ind w:left="3"/>
              <w:rPr>
                <w:lang w:val="en-US"/>
              </w:rPr>
            </w:pPr>
            <w:r w:rsidRPr="002B2A8B">
              <w:rPr>
                <w:rFonts w:ascii="Arial" w:eastAsia="Arial" w:hAnsi="Arial" w:cs="Arial"/>
                <w:sz w:val="16"/>
                <w:lang w:val="en-US"/>
              </w:rPr>
              <w:t xml:space="preserve">Aquatic Chronic 2, Flam. Liq. 3, Skin </w:t>
            </w:r>
          </w:p>
          <w:p w14:paraId="71CD1DAC" w14:textId="77777777" w:rsidR="009D4674" w:rsidRDefault="009D4674" w:rsidP="00EC639D">
            <w:pPr>
              <w:ind w:left="3"/>
            </w:pPr>
            <w:r>
              <w:rPr>
                <w:rFonts w:ascii="Arial" w:eastAsia="Arial" w:hAnsi="Arial" w:cs="Arial"/>
                <w:sz w:val="16"/>
              </w:rPr>
              <w:t xml:space="preserve">Irrit. 2, Skin Sens. 1B - H226, H304, </w:t>
            </w:r>
          </w:p>
          <w:p w14:paraId="64F836F5" w14:textId="77777777" w:rsidR="009D4674" w:rsidRDefault="009D4674" w:rsidP="00EC639D">
            <w:pPr>
              <w:ind w:left="3"/>
            </w:pPr>
            <w:r>
              <w:rPr>
                <w:rFonts w:ascii="Arial" w:eastAsia="Arial" w:hAnsi="Arial" w:cs="Arial"/>
                <w:sz w:val="16"/>
              </w:rPr>
              <w:t>H315, H317, H319, H332, H411</w:t>
            </w:r>
          </w:p>
        </w:tc>
        <w:tc>
          <w:tcPr>
            <w:tcW w:w="1317" w:type="dxa"/>
            <w:tcBorders>
              <w:top w:val="double" w:sz="3" w:space="0" w:color="C0C0C0"/>
              <w:left w:val="single" w:sz="5" w:space="0" w:color="C0C0C0"/>
              <w:bottom w:val="double" w:sz="3" w:space="0" w:color="C0C0C0"/>
              <w:right w:val="single" w:sz="2" w:space="0" w:color="C0C0C0"/>
            </w:tcBorders>
            <w:vAlign w:val="center"/>
          </w:tcPr>
          <w:p w14:paraId="21614F5D" w14:textId="1CCC6568" w:rsidR="009D4674" w:rsidRDefault="009D4674" w:rsidP="00EC639D">
            <w:pPr>
              <w:ind w:right="40"/>
              <w:jc w:val="center"/>
            </w:pPr>
            <w:r>
              <w:rPr>
                <w:rFonts w:ascii="Arial" w:eastAsia="Arial" w:hAnsi="Arial" w:cs="Arial"/>
                <w:sz w:val="16"/>
              </w:rPr>
              <w:t>0.5</w:t>
            </w:r>
          </w:p>
        </w:tc>
      </w:tr>
      <w:tr w:rsidR="009D4674" w14:paraId="364B1A79" w14:textId="77777777" w:rsidTr="00EC639D">
        <w:trPr>
          <w:trHeight w:val="491"/>
        </w:trPr>
        <w:tc>
          <w:tcPr>
            <w:tcW w:w="3513" w:type="dxa"/>
            <w:tcBorders>
              <w:top w:val="double" w:sz="3" w:space="0" w:color="C0C0C0"/>
              <w:left w:val="single" w:sz="2" w:space="0" w:color="C0C0C0"/>
              <w:bottom w:val="double" w:sz="2" w:space="0" w:color="C0C0C0"/>
              <w:right w:val="single" w:sz="5" w:space="0" w:color="C0C0C0"/>
            </w:tcBorders>
          </w:tcPr>
          <w:p w14:paraId="693F5103" w14:textId="77777777" w:rsidR="009D4674" w:rsidRPr="002B2A8B" w:rsidRDefault="009D4674" w:rsidP="00EC639D">
            <w:pPr>
              <w:rPr>
                <w:lang w:val="en-US"/>
              </w:rPr>
            </w:pPr>
            <w:r w:rsidRPr="002B2A8B">
              <w:rPr>
                <w:rFonts w:ascii="Arial" w:eastAsia="Arial" w:hAnsi="Arial" w:cs="Arial"/>
                <w:sz w:val="16"/>
                <w:lang w:val="en-US"/>
              </w:rPr>
              <w:t xml:space="preserve">3,7-dimethylocta-1,6-dien-3-ol (linalool)   (No </w:t>
            </w:r>
          </w:p>
          <w:p w14:paraId="3D13DDD2" w14:textId="77777777" w:rsidR="009D4674" w:rsidRPr="002B2A8B" w:rsidRDefault="009D4674" w:rsidP="00EC639D">
            <w:pPr>
              <w:rPr>
                <w:lang w:val="en-US"/>
              </w:rPr>
            </w:pPr>
            <w:r w:rsidRPr="002B2A8B">
              <w:rPr>
                <w:rFonts w:ascii="Arial" w:eastAsia="Arial" w:hAnsi="Arial" w:cs="Arial"/>
                <w:sz w:val="16"/>
                <w:lang w:val="en-US"/>
              </w:rPr>
              <w:t>REACH : 01-2119474016-42-XXXX)</w:t>
            </w:r>
          </w:p>
        </w:tc>
        <w:tc>
          <w:tcPr>
            <w:tcW w:w="990" w:type="dxa"/>
            <w:tcBorders>
              <w:top w:val="double" w:sz="3" w:space="0" w:color="C0C0C0"/>
              <w:left w:val="single" w:sz="5" w:space="0" w:color="C0C0C0"/>
              <w:bottom w:val="double" w:sz="2" w:space="0" w:color="C0C0C0"/>
              <w:right w:val="single" w:sz="5" w:space="0" w:color="C0C0C0"/>
            </w:tcBorders>
            <w:vAlign w:val="center"/>
          </w:tcPr>
          <w:p w14:paraId="3E319330" w14:textId="77777777" w:rsidR="009D4674" w:rsidRDefault="009D4674" w:rsidP="00EC639D">
            <w:pPr>
              <w:ind w:right="42"/>
              <w:jc w:val="center"/>
            </w:pPr>
            <w:r>
              <w:rPr>
                <w:rFonts w:ascii="Arial" w:eastAsia="Arial" w:hAnsi="Arial" w:cs="Arial"/>
                <w:sz w:val="14"/>
              </w:rPr>
              <w:t>78-70-6</w:t>
            </w:r>
          </w:p>
        </w:tc>
        <w:tc>
          <w:tcPr>
            <w:tcW w:w="780" w:type="dxa"/>
            <w:tcBorders>
              <w:top w:val="double" w:sz="3" w:space="0" w:color="C0C0C0"/>
              <w:left w:val="single" w:sz="5" w:space="0" w:color="C0C0C0"/>
              <w:bottom w:val="double" w:sz="2" w:space="0" w:color="C0C0C0"/>
              <w:right w:val="single" w:sz="5" w:space="0" w:color="C0C0C0"/>
            </w:tcBorders>
            <w:vAlign w:val="center"/>
          </w:tcPr>
          <w:p w14:paraId="0EE8605F" w14:textId="77777777" w:rsidR="009D4674" w:rsidRDefault="009D4674" w:rsidP="00EC639D">
            <w:pPr>
              <w:ind w:left="15"/>
            </w:pPr>
            <w:r>
              <w:rPr>
                <w:rFonts w:ascii="Arial" w:eastAsia="Arial" w:hAnsi="Arial" w:cs="Arial"/>
                <w:sz w:val="14"/>
              </w:rPr>
              <w:t>201-134-4</w:t>
            </w:r>
          </w:p>
        </w:tc>
        <w:tc>
          <w:tcPr>
            <w:tcW w:w="2998" w:type="dxa"/>
            <w:tcBorders>
              <w:top w:val="double" w:sz="3" w:space="0" w:color="C0C0C0"/>
              <w:left w:val="single" w:sz="5" w:space="0" w:color="C0C0C0"/>
              <w:bottom w:val="double" w:sz="2" w:space="0" w:color="C0C0C0"/>
              <w:right w:val="single" w:sz="5" w:space="0" w:color="C0C0C0"/>
            </w:tcBorders>
          </w:tcPr>
          <w:p w14:paraId="03C5DE61" w14:textId="77777777" w:rsidR="009D4674" w:rsidRDefault="009D4674" w:rsidP="00EC639D">
            <w:pPr>
              <w:ind w:left="3"/>
              <w:jc w:val="both"/>
            </w:pPr>
            <w:r>
              <w:rPr>
                <w:rFonts w:ascii="Arial" w:eastAsia="Arial" w:hAnsi="Arial" w:cs="Arial"/>
                <w:sz w:val="16"/>
              </w:rPr>
              <w:t xml:space="preserve">Eye Irrit. 2, Skin Irrit. 2, Skin Sens. 1B - </w:t>
            </w:r>
          </w:p>
          <w:p w14:paraId="58F0D5C0" w14:textId="77777777" w:rsidR="009D4674" w:rsidRDefault="009D4674" w:rsidP="00EC639D">
            <w:pPr>
              <w:ind w:left="3"/>
            </w:pPr>
            <w:r>
              <w:rPr>
                <w:rFonts w:ascii="Arial" w:eastAsia="Arial" w:hAnsi="Arial" w:cs="Arial"/>
                <w:sz w:val="16"/>
              </w:rPr>
              <w:t>H315, H317, H319</w:t>
            </w:r>
          </w:p>
        </w:tc>
        <w:tc>
          <w:tcPr>
            <w:tcW w:w="1317" w:type="dxa"/>
            <w:tcBorders>
              <w:top w:val="double" w:sz="3" w:space="0" w:color="C0C0C0"/>
              <w:left w:val="single" w:sz="5" w:space="0" w:color="C0C0C0"/>
              <w:bottom w:val="double" w:sz="2" w:space="0" w:color="C0C0C0"/>
              <w:right w:val="single" w:sz="2" w:space="0" w:color="C0C0C0"/>
            </w:tcBorders>
            <w:vAlign w:val="center"/>
          </w:tcPr>
          <w:p w14:paraId="2A450E87" w14:textId="38710C25" w:rsidR="009D4674" w:rsidRDefault="009D4674" w:rsidP="00EC639D">
            <w:pPr>
              <w:ind w:right="40"/>
              <w:jc w:val="center"/>
            </w:pPr>
            <w:r>
              <w:rPr>
                <w:rFonts w:ascii="Arial" w:eastAsia="Arial" w:hAnsi="Arial" w:cs="Arial"/>
                <w:sz w:val="16"/>
              </w:rPr>
              <w:t>0.5</w:t>
            </w:r>
          </w:p>
        </w:tc>
      </w:tr>
      <w:tr w:rsidR="009D4674" w14:paraId="7F655CA4" w14:textId="77777777" w:rsidTr="00EC639D">
        <w:trPr>
          <w:trHeight w:val="490"/>
        </w:trPr>
        <w:tc>
          <w:tcPr>
            <w:tcW w:w="3513" w:type="dxa"/>
            <w:tcBorders>
              <w:top w:val="double" w:sz="2" w:space="0" w:color="C0C0C0"/>
              <w:left w:val="single" w:sz="2" w:space="0" w:color="C0C0C0"/>
              <w:bottom w:val="double" w:sz="2" w:space="0" w:color="C0C0C0"/>
              <w:right w:val="single" w:sz="5" w:space="0" w:color="C0C0C0"/>
            </w:tcBorders>
          </w:tcPr>
          <w:p w14:paraId="7A436E18" w14:textId="77777777" w:rsidR="009D4674" w:rsidRPr="002B2A8B" w:rsidRDefault="009D4674" w:rsidP="00EC639D">
            <w:pPr>
              <w:rPr>
                <w:lang w:val="en-US"/>
              </w:rPr>
            </w:pPr>
            <w:r w:rsidRPr="002B2A8B">
              <w:rPr>
                <w:rFonts w:ascii="Arial" w:eastAsia="Arial" w:hAnsi="Arial" w:cs="Arial"/>
                <w:sz w:val="16"/>
                <w:lang w:val="en-US"/>
              </w:rPr>
              <w:t xml:space="preserve">3,7-dimethylocta-2,6-dienal (citral)   (No </w:t>
            </w:r>
          </w:p>
          <w:p w14:paraId="07E37C45" w14:textId="77777777" w:rsidR="009D4674" w:rsidRPr="002B2A8B" w:rsidRDefault="009D4674" w:rsidP="00EC639D">
            <w:pPr>
              <w:rPr>
                <w:lang w:val="en-US"/>
              </w:rPr>
            </w:pPr>
            <w:r w:rsidRPr="002B2A8B">
              <w:rPr>
                <w:rFonts w:ascii="Arial" w:eastAsia="Arial" w:hAnsi="Arial" w:cs="Arial"/>
                <w:sz w:val="16"/>
                <w:lang w:val="en-US"/>
              </w:rPr>
              <w:t>REACH : 01-2119462829-23-XXXX)</w:t>
            </w:r>
          </w:p>
        </w:tc>
        <w:tc>
          <w:tcPr>
            <w:tcW w:w="990" w:type="dxa"/>
            <w:tcBorders>
              <w:top w:val="double" w:sz="2" w:space="0" w:color="C0C0C0"/>
              <w:left w:val="single" w:sz="5" w:space="0" w:color="C0C0C0"/>
              <w:bottom w:val="double" w:sz="2" w:space="0" w:color="C0C0C0"/>
              <w:right w:val="single" w:sz="5" w:space="0" w:color="C0C0C0"/>
            </w:tcBorders>
            <w:vAlign w:val="center"/>
          </w:tcPr>
          <w:p w14:paraId="3D2305C2" w14:textId="77777777" w:rsidR="009D4674" w:rsidRDefault="009D4674" w:rsidP="00EC639D">
            <w:pPr>
              <w:ind w:right="42"/>
              <w:jc w:val="center"/>
            </w:pPr>
            <w:r>
              <w:rPr>
                <w:rFonts w:ascii="Arial" w:eastAsia="Arial" w:hAnsi="Arial" w:cs="Arial"/>
                <w:sz w:val="14"/>
              </w:rPr>
              <w:t>5392-40-5</w:t>
            </w:r>
          </w:p>
        </w:tc>
        <w:tc>
          <w:tcPr>
            <w:tcW w:w="780" w:type="dxa"/>
            <w:tcBorders>
              <w:top w:val="double" w:sz="2" w:space="0" w:color="C0C0C0"/>
              <w:left w:val="single" w:sz="5" w:space="0" w:color="C0C0C0"/>
              <w:bottom w:val="double" w:sz="2" w:space="0" w:color="C0C0C0"/>
              <w:right w:val="single" w:sz="5" w:space="0" w:color="C0C0C0"/>
            </w:tcBorders>
            <w:vAlign w:val="center"/>
          </w:tcPr>
          <w:p w14:paraId="03A0C124" w14:textId="77777777" w:rsidR="009D4674" w:rsidRDefault="009D4674" w:rsidP="00EC639D">
            <w:pPr>
              <w:ind w:left="15"/>
            </w:pPr>
            <w:r>
              <w:rPr>
                <w:rFonts w:ascii="Arial" w:eastAsia="Arial" w:hAnsi="Arial" w:cs="Arial"/>
                <w:sz w:val="14"/>
              </w:rPr>
              <w:t>226-394-6</w:t>
            </w:r>
          </w:p>
        </w:tc>
        <w:tc>
          <w:tcPr>
            <w:tcW w:w="2998" w:type="dxa"/>
            <w:tcBorders>
              <w:top w:val="double" w:sz="2" w:space="0" w:color="C0C0C0"/>
              <w:left w:val="single" w:sz="5" w:space="0" w:color="C0C0C0"/>
              <w:bottom w:val="double" w:sz="2" w:space="0" w:color="C0C0C0"/>
              <w:right w:val="single" w:sz="5" w:space="0" w:color="C0C0C0"/>
            </w:tcBorders>
          </w:tcPr>
          <w:p w14:paraId="491E3780" w14:textId="77777777" w:rsidR="009D4674" w:rsidRDefault="009D4674" w:rsidP="00EC639D">
            <w:pPr>
              <w:ind w:left="3"/>
            </w:pPr>
            <w:r>
              <w:rPr>
                <w:rFonts w:ascii="Arial" w:eastAsia="Arial" w:hAnsi="Arial" w:cs="Arial"/>
                <w:sz w:val="16"/>
              </w:rPr>
              <w:t xml:space="preserve">Eye Irrit. 2, Skin Irrit. 2, Skin Sens. 1 - </w:t>
            </w:r>
          </w:p>
          <w:p w14:paraId="274416E6" w14:textId="77777777" w:rsidR="009D4674" w:rsidRDefault="009D4674" w:rsidP="00EC639D">
            <w:pPr>
              <w:ind w:left="3"/>
            </w:pPr>
            <w:r>
              <w:rPr>
                <w:rFonts w:ascii="Arial" w:eastAsia="Arial" w:hAnsi="Arial" w:cs="Arial"/>
                <w:sz w:val="16"/>
              </w:rPr>
              <w:t>H315, H317, H319</w:t>
            </w:r>
          </w:p>
        </w:tc>
        <w:tc>
          <w:tcPr>
            <w:tcW w:w="1317" w:type="dxa"/>
            <w:tcBorders>
              <w:top w:val="double" w:sz="2" w:space="0" w:color="C0C0C0"/>
              <w:left w:val="single" w:sz="5" w:space="0" w:color="C0C0C0"/>
              <w:bottom w:val="double" w:sz="2" w:space="0" w:color="C0C0C0"/>
              <w:right w:val="single" w:sz="2" w:space="0" w:color="C0C0C0"/>
            </w:tcBorders>
            <w:vAlign w:val="center"/>
          </w:tcPr>
          <w:p w14:paraId="7A2F3085" w14:textId="65F56E85" w:rsidR="009D4674" w:rsidRDefault="009D4674" w:rsidP="00EC639D">
            <w:pPr>
              <w:ind w:right="40"/>
              <w:jc w:val="center"/>
            </w:pPr>
            <w:r>
              <w:rPr>
                <w:rFonts w:ascii="Arial" w:eastAsia="Arial" w:hAnsi="Arial" w:cs="Arial"/>
                <w:sz w:val="16"/>
              </w:rPr>
              <w:t>0.5</w:t>
            </w:r>
          </w:p>
        </w:tc>
      </w:tr>
      <w:tr w:rsidR="009D4674" w14:paraId="199AB468" w14:textId="77777777" w:rsidTr="00EC639D">
        <w:trPr>
          <w:trHeight w:val="1039"/>
        </w:trPr>
        <w:tc>
          <w:tcPr>
            <w:tcW w:w="3513" w:type="dxa"/>
            <w:tcBorders>
              <w:top w:val="double" w:sz="2" w:space="0" w:color="C0C0C0"/>
              <w:left w:val="single" w:sz="2" w:space="0" w:color="C0C0C0"/>
              <w:bottom w:val="double" w:sz="3" w:space="0" w:color="C0C0C0"/>
              <w:right w:val="single" w:sz="5" w:space="0" w:color="C0C0C0"/>
            </w:tcBorders>
            <w:vAlign w:val="center"/>
          </w:tcPr>
          <w:p w14:paraId="6EA0095E" w14:textId="77777777" w:rsidR="009D4674" w:rsidRPr="002B2A8B" w:rsidRDefault="009D4674" w:rsidP="00EC639D">
            <w:pPr>
              <w:rPr>
                <w:lang w:val="en-US"/>
              </w:rPr>
            </w:pPr>
            <w:r w:rsidRPr="002B2A8B">
              <w:rPr>
                <w:rFonts w:ascii="Arial" w:eastAsia="Arial" w:hAnsi="Arial" w:cs="Arial"/>
                <w:sz w:val="16"/>
                <w:lang w:val="en-US"/>
              </w:rPr>
              <w:t>4,7,7-trimethylbicyclo[3.1.1]hept-3-ene (alpha-pinene)   (No REACH : 01-2119519223-49-XXXX)</w:t>
            </w:r>
          </w:p>
        </w:tc>
        <w:tc>
          <w:tcPr>
            <w:tcW w:w="990" w:type="dxa"/>
            <w:tcBorders>
              <w:top w:val="double" w:sz="2" w:space="0" w:color="C0C0C0"/>
              <w:left w:val="single" w:sz="5" w:space="0" w:color="C0C0C0"/>
              <w:bottom w:val="double" w:sz="3" w:space="0" w:color="C0C0C0"/>
              <w:right w:val="single" w:sz="5" w:space="0" w:color="C0C0C0"/>
            </w:tcBorders>
            <w:vAlign w:val="center"/>
          </w:tcPr>
          <w:p w14:paraId="0C945CDA" w14:textId="77777777" w:rsidR="009D4674" w:rsidRDefault="009D4674" w:rsidP="00EC639D">
            <w:pPr>
              <w:ind w:right="42"/>
              <w:jc w:val="center"/>
            </w:pPr>
            <w:r>
              <w:rPr>
                <w:rFonts w:ascii="Arial" w:eastAsia="Arial" w:hAnsi="Arial" w:cs="Arial"/>
                <w:sz w:val="14"/>
              </w:rPr>
              <w:t>80-56-8</w:t>
            </w:r>
          </w:p>
        </w:tc>
        <w:tc>
          <w:tcPr>
            <w:tcW w:w="780" w:type="dxa"/>
            <w:tcBorders>
              <w:top w:val="double" w:sz="2" w:space="0" w:color="C0C0C0"/>
              <w:left w:val="single" w:sz="5" w:space="0" w:color="C0C0C0"/>
              <w:bottom w:val="double" w:sz="3" w:space="0" w:color="C0C0C0"/>
              <w:right w:val="single" w:sz="5" w:space="0" w:color="C0C0C0"/>
            </w:tcBorders>
            <w:vAlign w:val="center"/>
          </w:tcPr>
          <w:p w14:paraId="32BADADB" w14:textId="77777777" w:rsidR="009D4674" w:rsidRDefault="009D4674" w:rsidP="00EC639D">
            <w:pPr>
              <w:ind w:left="15"/>
            </w:pPr>
            <w:r>
              <w:rPr>
                <w:rFonts w:ascii="Arial" w:eastAsia="Arial" w:hAnsi="Arial" w:cs="Arial"/>
                <w:sz w:val="14"/>
              </w:rPr>
              <w:t>201-291-9</w:t>
            </w:r>
          </w:p>
        </w:tc>
        <w:tc>
          <w:tcPr>
            <w:tcW w:w="2998" w:type="dxa"/>
            <w:tcBorders>
              <w:top w:val="double" w:sz="2" w:space="0" w:color="C0C0C0"/>
              <w:left w:val="single" w:sz="5" w:space="0" w:color="C0C0C0"/>
              <w:bottom w:val="double" w:sz="3" w:space="0" w:color="C0C0C0"/>
              <w:right w:val="single" w:sz="5" w:space="0" w:color="C0C0C0"/>
            </w:tcBorders>
          </w:tcPr>
          <w:p w14:paraId="456ADE39" w14:textId="77777777" w:rsidR="009D4674" w:rsidRPr="002B2A8B" w:rsidRDefault="009D4674" w:rsidP="00EC639D">
            <w:pPr>
              <w:ind w:left="3"/>
              <w:rPr>
                <w:lang w:val="en-US"/>
              </w:rPr>
            </w:pPr>
            <w:r w:rsidRPr="002B2A8B">
              <w:rPr>
                <w:rFonts w:ascii="Arial" w:eastAsia="Arial" w:hAnsi="Arial" w:cs="Arial"/>
                <w:sz w:val="16"/>
                <w:lang w:val="en-US"/>
              </w:rPr>
              <w:t xml:space="preserve">Asp. Tox. 1, Acute Tox. 4, Eye Irrit. 2, </w:t>
            </w:r>
          </w:p>
          <w:p w14:paraId="2FDC024E" w14:textId="77777777" w:rsidR="009D4674" w:rsidRPr="002B2A8B" w:rsidRDefault="009D4674" w:rsidP="00EC639D">
            <w:pPr>
              <w:ind w:left="3"/>
              <w:rPr>
                <w:lang w:val="en-US"/>
              </w:rPr>
            </w:pPr>
            <w:r w:rsidRPr="002B2A8B">
              <w:rPr>
                <w:rFonts w:ascii="Arial" w:eastAsia="Arial" w:hAnsi="Arial" w:cs="Arial"/>
                <w:sz w:val="16"/>
                <w:lang w:val="en-US"/>
              </w:rPr>
              <w:t xml:space="preserve">Aquatic Acute 1, Aquatic Chronic 1, </w:t>
            </w:r>
          </w:p>
          <w:p w14:paraId="26513CC2" w14:textId="77777777" w:rsidR="009D4674" w:rsidRDefault="009D4674" w:rsidP="00EC639D">
            <w:pPr>
              <w:ind w:left="3"/>
              <w:jc w:val="both"/>
            </w:pPr>
            <w:r>
              <w:rPr>
                <w:rFonts w:ascii="Arial" w:eastAsia="Arial" w:hAnsi="Arial" w:cs="Arial"/>
                <w:sz w:val="16"/>
              </w:rPr>
              <w:t xml:space="preserve">Flam. Liq. 3, Skin Irrit. 2, Skin Sens. 1B </w:t>
            </w:r>
          </w:p>
          <w:p w14:paraId="1594B0D3" w14:textId="77777777" w:rsidR="009D4674" w:rsidRDefault="009D4674" w:rsidP="00EC639D">
            <w:pPr>
              <w:ind w:left="3"/>
            </w:pPr>
            <w:r>
              <w:rPr>
                <w:rFonts w:ascii="Arial" w:eastAsia="Arial" w:hAnsi="Arial" w:cs="Arial"/>
                <w:sz w:val="16"/>
              </w:rPr>
              <w:t>- H226, H302, H304, H315, H317, H319, H410</w:t>
            </w:r>
          </w:p>
        </w:tc>
        <w:tc>
          <w:tcPr>
            <w:tcW w:w="1317" w:type="dxa"/>
            <w:tcBorders>
              <w:top w:val="double" w:sz="2" w:space="0" w:color="C0C0C0"/>
              <w:left w:val="single" w:sz="5" w:space="0" w:color="C0C0C0"/>
              <w:bottom w:val="double" w:sz="3" w:space="0" w:color="C0C0C0"/>
              <w:right w:val="single" w:sz="2" w:space="0" w:color="C0C0C0"/>
            </w:tcBorders>
            <w:vAlign w:val="center"/>
          </w:tcPr>
          <w:p w14:paraId="04505A09" w14:textId="29350AC5" w:rsidR="009D4674" w:rsidRDefault="009D4674" w:rsidP="00EC639D">
            <w:pPr>
              <w:ind w:right="40"/>
              <w:jc w:val="center"/>
            </w:pPr>
            <w:r>
              <w:rPr>
                <w:rFonts w:ascii="Arial" w:eastAsia="Arial" w:hAnsi="Arial" w:cs="Arial"/>
                <w:sz w:val="16"/>
              </w:rPr>
              <w:t>0.5</w:t>
            </w:r>
          </w:p>
        </w:tc>
      </w:tr>
      <w:tr w:rsidR="009D4674" w14:paraId="4348C6BD" w14:textId="77777777" w:rsidTr="00EC639D">
        <w:trPr>
          <w:trHeight w:val="858"/>
        </w:trPr>
        <w:tc>
          <w:tcPr>
            <w:tcW w:w="3513" w:type="dxa"/>
            <w:tcBorders>
              <w:top w:val="double" w:sz="3" w:space="0" w:color="C0C0C0"/>
              <w:left w:val="single" w:sz="2" w:space="0" w:color="C0C0C0"/>
              <w:bottom w:val="double" w:sz="3" w:space="0" w:color="C0C0C0"/>
              <w:right w:val="single" w:sz="5" w:space="0" w:color="C0C0C0"/>
            </w:tcBorders>
            <w:vAlign w:val="center"/>
          </w:tcPr>
          <w:p w14:paraId="348B8CB0" w14:textId="77777777" w:rsidR="009D4674" w:rsidRPr="002B2A8B" w:rsidRDefault="009D4674" w:rsidP="00EC639D">
            <w:pPr>
              <w:spacing w:line="238" w:lineRule="auto"/>
              <w:rPr>
                <w:lang w:val="en-US"/>
              </w:rPr>
            </w:pPr>
            <w:r w:rsidRPr="002B2A8B">
              <w:rPr>
                <w:rFonts w:ascii="Arial" w:eastAsia="Arial" w:hAnsi="Arial" w:cs="Arial"/>
                <w:sz w:val="16"/>
                <w:lang w:val="en-US"/>
              </w:rPr>
              <w:t xml:space="preserve">7-methyl-3-methylideneocta-1,6-diene (myrcene)   (No REACH : </w:t>
            </w:r>
          </w:p>
          <w:p w14:paraId="68A10271" w14:textId="77777777" w:rsidR="009D4674" w:rsidRDefault="009D4674" w:rsidP="00EC639D">
            <w:r>
              <w:rPr>
                <w:rFonts w:ascii="Arial" w:eastAsia="Arial" w:hAnsi="Arial" w:cs="Arial"/>
                <w:sz w:val="16"/>
              </w:rPr>
              <w:t>01-2119514321-56-XXXX)</w:t>
            </w:r>
          </w:p>
        </w:tc>
        <w:tc>
          <w:tcPr>
            <w:tcW w:w="990" w:type="dxa"/>
            <w:tcBorders>
              <w:top w:val="double" w:sz="3" w:space="0" w:color="C0C0C0"/>
              <w:left w:val="single" w:sz="5" w:space="0" w:color="C0C0C0"/>
              <w:bottom w:val="double" w:sz="3" w:space="0" w:color="C0C0C0"/>
              <w:right w:val="single" w:sz="5" w:space="0" w:color="C0C0C0"/>
            </w:tcBorders>
            <w:vAlign w:val="center"/>
          </w:tcPr>
          <w:p w14:paraId="03E7A656" w14:textId="77777777" w:rsidR="009D4674" w:rsidRDefault="009D4674" w:rsidP="00EC639D">
            <w:pPr>
              <w:ind w:right="42"/>
              <w:jc w:val="center"/>
            </w:pPr>
            <w:r>
              <w:rPr>
                <w:rFonts w:ascii="Arial" w:eastAsia="Arial" w:hAnsi="Arial" w:cs="Arial"/>
                <w:sz w:val="14"/>
              </w:rPr>
              <w:t>123-35-3</w:t>
            </w:r>
          </w:p>
        </w:tc>
        <w:tc>
          <w:tcPr>
            <w:tcW w:w="780" w:type="dxa"/>
            <w:tcBorders>
              <w:top w:val="double" w:sz="3" w:space="0" w:color="C0C0C0"/>
              <w:left w:val="single" w:sz="5" w:space="0" w:color="C0C0C0"/>
              <w:bottom w:val="double" w:sz="3" w:space="0" w:color="C0C0C0"/>
              <w:right w:val="single" w:sz="5" w:space="0" w:color="C0C0C0"/>
            </w:tcBorders>
            <w:vAlign w:val="center"/>
          </w:tcPr>
          <w:p w14:paraId="68E4D954" w14:textId="77777777" w:rsidR="009D4674" w:rsidRDefault="009D4674" w:rsidP="00EC639D">
            <w:pPr>
              <w:ind w:left="15"/>
            </w:pPr>
            <w:r>
              <w:rPr>
                <w:rFonts w:ascii="Arial" w:eastAsia="Arial" w:hAnsi="Arial" w:cs="Arial"/>
                <w:sz w:val="14"/>
              </w:rPr>
              <w:t>204-622-5</w:t>
            </w:r>
          </w:p>
        </w:tc>
        <w:tc>
          <w:tcPr>
            <w:tcW w:w="2998" w:type="dxa"/>
            <w:tcBorders>
              <w:top w:val="double" w:sz="3" w:space="0" w:color="C0C0C0"/>
              <w:left w:val="single" w:sz="5" w:space="0" w:color="C0C0C0"/>
              <w:bottom w:val="double" w:sz="3" w:space="0" w:color="C0C0C0"/>
              <w:right w:val="single" w:sz="5" w:space="0" w:color="C0C0C0"/>
            </w:tcBorders>
          </w:tcPr>
          <w:p w14:paraId="2E724C2D" w14:textId="77777777" w:rsidR="009D4674" w:rsidRPr="002B2A8B" w:rsidRDefault="009D4674" w:rsidP="00EC639D">
            <w:pPr>
              <w:ind w:left="3"/>
              <w:rPr>
                <w:lang w:val="en-US"/>
              </w:rPr>
            </w:pPr>
            <w:r w:rsidRPr="002B2A8B">
              <w:rPr>
                <w:rFonts w:ascii="Arial" w:eastAsia="Arial" w:hAnsi="Arial" w:cs="Arial"/>
                <w:sz w:val="16"/>
                <w:lang w:val="en-US"/>
              </w:rPr>
              <w:t xml:space="preserve">Asp. Tox. 1, Eye Irrit. 2, Aquatic Acute </w:t>
            </w:r>
          </w:p>
          <w:p w14:paraId="71E119F6" w14:textId="77777777" w:rsidR="009D4674" w:rsidRPr="002B2A8B" w:rsidRDefault="009D4674" w:rsidP="00EC639D">
            <w:pPr>
              <w:ind w:left="3"/>
              <w:rPr>
                <w:lang w:val="en-US"/>
              </w:rPr>
            </w:pPr>
            <w:r w:rsidRPr="002B2A8B">
              <w:rPr>
                <w:rFonts w:ascii="Arial" w:eastAsia="Arial" w:hAnsi="Arial" w:cs="Arial"/>
                <w:sz w:val="16"/>
                <w:lang w:val="en-US"/>
              </w:rPr>
              <w:t xml:space="preserve">1, Aquatic Chronic 2, Flam. Liq. 3, Skin </w:t>
            </w:r>
          </w:p>
          <w:p w14:paraId="63ADD45F" w14:textId="77777777" w:rsidR="009D4674" w:rsidRDefault="009D4674" w:rsidP="00EC639D">
            <w:pPr>
              <w:ind w:left="3"/>
            </w:pPr>
            <w:r w:rsidRPr="002B2A8B">
              <w:rPr>
                <w:rFonts w:ascii="Arial" w:eastAsia="Arial" w:hAnsi="Arial" w:cs="Arial"/>
                <w:sz w:val="16"/>
                <w:lang w:val="en-US"/>
              </w:rPr>
              <w:t xml:space="preserve">Irrit. </w:t>
            </w:r>
            <w:r>
              <w:rPr>
                <w:rFonts w:ascii="Arial" w:eastAsia="Arial" w:hAnsi="Arial" w:cs="Arial"/>
                <w:sz w:val="16"/>
              </w:rPr>
              <w:t xml:space="preserve">2 - H226, H304, H315, H319, </w:t>
            </w:r>
          </w:p>
          <w:p w14:paraId="1EB930D5" w14:textId="77777777" w:rsidR="009D4674" w:rsidRDefault="009D4674" w:rsidP="00EC639D">
            <w:pPr>
              <w:ind w:left="3"/>
            </w:pPr>
            <w:r>
              <w:rPr>
                <w:rFonts w:ascii="Arial" w:eastAsia="Arial" w:hAnsi="Arial" w:cs="Arial"/>
                <w:sz w:val="16"/>
              </w:rPr>
              <w:t>H400, H411</w:t>
            </w:r>
          </w:p>
        </w:tc>
        <w:tc>
          <w:tcPr>
            <w:tcW w:w="1317" w:type="dxa"/>
            <w:tcBorders>
              <w:top w:val="double" w:sz="3" w:space="0" w:color="C0C0C0"/>
              <w:left w:val="single" w:sz="5" w:space="0" w:color="C0C0C0"/>
              <w:bottom w:val="double" w:sz="3" w:space="0" w:color="C0C0C0"/>
              <w:right w:val="single" w:sz="2" w:space="0" w:color="C0C0C0"/>
            </w:tcBorders>
            <w:vAlign w:val="center"/>
          </w:tcPr>
          <w:p w14:paraId="41931992" w14:textId="29668A5C" w:rsidR="009D4674" w:rsidRDefault="009D4674" w:rsidP="00EC639D">
            <w:pPr>
              <w:ind w:right="40"/>
              <w:jc w:val="center"/>
            </w:pPr>
            <w:r>
              <w:rPr>
                <w:rFonts w:ascii="Arial" w:eastAsia="Arial" w:hAnsi="Arial" w:cs="Arial"/>
                <w:sz w:val="16"/>
              </w:rPr>
              <w:t>0.5</w:t>
            </w:r>
          </w:p>
        </w:tc>
      </w:tr>
      <w:tr w:rsidR="009D4674" w14:paraId="0AD79261" w14:textId="77777777" w:rsidTr="00EC639D">
        <w:trPr>
          <w:trHeight w:val="666"/>
        </w:trPr>
        <w:tc>
          <w:tcPr>
            <w:tcW w:w="3513" w:type="dxa"/>
            <w:tcBorders>
              <w:top w:val="double" w:sz="3" w:space="0" w:color="C0C0C0"/>
              <w:left w:val="single" w:sz="2" w:space="0" w:color="C0C0C0"/>
              <w:bottom w:val="single" w:sz="3" w:space="0" w:color="C0C0C0"/>
              <w:right w:val="single" w:sz="5" w:space="0" w:color="C0C0C0"/>
            </w:tcBorders>
            <w:vAlign w:val="center"/>
          </w:tcPr>
          <w:p w14:paraId="59FD0C30" w14:textId="77777777" w:rsidR="009D4674" w:rsidRPr="002B2A8B" w:rsidRDefault="009D4674" w:rsidP="00EC639D">
            <w:pPr>
              <w:rPr>
                <w:lang w:val="en-US"/>
              </w:rPr>
            </w:pPr>
            <w:r w:rsidRPr="002B2A8B">
              <w:rPr>
                <w:rFonts w:ascii="Arial" w:eastAsia="Arial" w:hAnsi="Arial" w:cs="Arial"/>
                <w:sz w:val="16"/>
                <w:lang w:val="en-US"/>
              </w:rPr>
              <w:t>prop-2-enyl hexanoate (allyl caproate)   (No REACH : 01-2119983573-26-0000)</w:t>
            </w:r>
          </w:p>
        </w:tc>
        <w:tc>
          <w:tcPr>
            <w:tcW w:w="990" w:type="dxa"/>
            <w:tcBorders>
              <w:top w:val="double" w:sz="3" w:space="0" w:color="C0C0C0"/>
              <w:left w:val="single" w:sz="5" w:space="0" w:color="C0C0C0"/>
              <w:bottom w:val="single" w:sz="3" w:space="0" w:color="C0C0C0"/>
              <w:right w:val="single" w:sz="5" w:space="0" w:color="C0C0C0"/>
            </w:tcBorders>
            <w:vAlign w:val="center"/>
          </w:tcPr>
          <w:p w14:paraId="5BC96ADF" w14:textId="77777777" w:rsidR="009D4674" w:rsidRDefault="009D4674" w:rsidP="00EC639D">
            <w:pPr>
              <w:ind w:right="42"/>
              <w:jc w:val="center"/>
            </w:pPr>
            <w:r>
              <w:rPr>
                <w:rFonts w:ascii="Arial" w:eastAsia="Arial" w:hAnsi="Arial" w:cs="Arial"/>
                <w:sz w:val="14"/>
              </w:rPr>
              <w:t>123-68-2</w:t>
            </w:r>
          </w:p>
        </w:tc>
        <w:tc>
          <w:tcPr>
            <w:tcW w:w="780" w:type="dxa"/>
            <w:tcBorders>
              <w:top w:val="double" w:sz="3" w:space="0" w:color="C0C0C0"/>
              <w:left w:val="single" w:sz="5" w:space="0" w:color="C0C0C0"/>
              <w:bottom w:val="single" w:sz="3" w:space="0" w:color="C0C0C0"/>
              <w:right w:val="single" w:sz="5" w:space="0" w:color="C0C0C0"/>
            </w:tcBorders>
            <w:vAlign w:val="center"/>
          </w:tcPr>
          <w:p w14:paraId="5915DA42" w14:textId="77777777" w:rsidR="009D4674" w:rsidRDefault="009D4674" w:rsidP="00EC639D">
            <w:pPr>
              <w:ind w:left="15"/>
            </w:pPr>
            <w:r>
              <w:rPr>
                <w:rFonts w:ascii="Arial" w:eastAsia="Arial" w:hAnsi="Arial" w:cs="Arial"/>
                <w:sz w:val="14"/>
              </w:rPr>
              <w:t>204-642-4</w:t>
            </w:r>
          </w:p>
        </w:tc>
        <w:tc>
          <w:tcPr>
            <w:tcW w:w="2998" w:type="dxa"/>
            <w:tcBorders>
              <w:top w:val="double" w:sz="3" w:space="0" w:color="C0C0C0"/>
              <w:left w:val="single" w:sz="5" w:space="0" w:color="C0C0C0"/>
              <w:bottom w:val="single" w:sz="3" w:space="0" w:color="C0C0C0"/>
              <w:right w:val="single" w:sz="5" w:space="0" w:color="C0C0C0"/>
            </w:tcBorders>
          </w:tcPr>
          <w:p w14:paraId="3662E95F" w14:textId="77777777" w:rsidR="009D4674" w:rsidRPr="002B2A8B" w:rsidRDefault="009D4674" w:rsidP="00EC639D">
            <w:pPr>
              <w:ind w:left="3"/>
              <w:rPr>
                <w:lang w:val="en-US"/>
              </w:rPr>
            </w:pPr>
            <w:r w:rsidRPr="002B2A8B">
              <w:rPr>
                <w:rFonts w:ascii="Arial" w:eastAsia="Arial" w:hAnsi="Arial" w:cs="Arial"/>
                <w:sz w:val="16"/>
                <w:lang w:val="en-US"/>
              </w:rPr>
              <w:t>Acute Tox. 3, Acute Tox. 3, Acute Tox. 3, Aquatic Acute 1, Aquatic Chronic 3 - H301, H311, H331, H400, H412</w:t>
            </w:r>
          </w:p>
        </w:tc>
        <w:tc>
          <w:tcPr>
            <w:tcW w:w="1317" w:type="dxa"/>
            <w:tcBorders>
              <w:top w:val="double" w:sz="3" w:space="0" w:color="C0C0C0"/>
              <w:left w:val="single" w:sz="5" w:space="0" w:color="C0C0C0"/>
              <w:bottom w:val="single" w:sz="3" w:space="0" w:color="C0C0C0"/>
              <w:right w:val="single" w:sz="2" w:space="0" w:color="C0C0C0"/>
            </w:tcBorders>
            <w:vAlign w:val="center"/>
          </w:tcPr>
          <w:p w14:paraId="0B9FC1B9" w14:textId="4ECEE836" w:rsidR="009D4674" w:rsidRDefault="009D4674" w:rsidP="00EC639D">
            <w:pPr>
              <w:ind w:right="40"/>
              <w:jc w:val="center"/>
            </w:pPr>
            <w:r>
              <w:rPr>
                <w:rFonts w:ascii="Arial" w:eastAsia="Arial" w:hAnsi="Arial" w:cs="Arial"/>
                <w:sz w:val="16"/>
              </w:rPr>
              <w:t>0.5</w:t>
            </w:r>
          </w:p>
        </w:tc>
      </w:tr>
    </w:tbl>
    <w:p w14:paraId="5D5B29AD" w14:textId="77777777" w:rsidR="00842C6E" w:rsidRPr="00FF0106" w:rsidRDefault="00842C6E" w:rsidP="00B84FFD">
      <w:pPr>
        <w:spacing w:before="120" w:after="120" w:line="240" w:lineRule="auto"/>
        <w:rPr>
          <w:rFonts w:cs="Calibri"/>
          <w:sz w:val="20"/>
          <w:szCs w:val="20"/>
          <w:lang w:val="en-US"/>
        </w:rPr>
      </w:pPr>
    </w:p>
    <w:p w14:paraId="20AFB066" w14:textId="77777777" w:rsidR="00364E68" w:rsidRPr="00FF0106" w:rsidRDefault="00364E68" w:rsidP="00B84FFD">
      <w:pPr>
        <w:spacing w:before="120" w:after="120" w:line="240" w:lineRule="auto"/>
        <w:rPr>
          <w:rFonts w:cs="Calibri"/>
          <w:sz w:val="20"/>
          <w:szCs w:val="20"/>
          <w:lang w:val="en-US"/>
        </w:rPr>
      </w:pPr>
    </w:p>
    <w:p w14:paraId="469C9C9E"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4 : Premiers secours</w:t>
      </w:r>
    </w:p>
    <w:p w14:paraId="0131337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4.1. Description des premiers secours</w:t>
      </w:r>
    </w:p>
    <w:p w14:paraId="5F5D7E34" w14:textId="77777777" w:rsidR="003A0B67" w:rsidRPr="003A0B67" w:rsidRDefault="003A0B67" w:rsidP="003A0B67">
      <w:pPr>
        <w:pStyle w:val="Corpsdetexte"/>
        <w:spacing w:before="13"/>
        <w:ind w:left="160"/>
        <w:rPr>
          <w:rFonts w:ascii="Calibri" w:eastAsia="Calibri" w:hAnsi="Calibri" w:cs="Times New Roman"/>
          <w:sz w:val="22"/>
          <w:szCs w:val="22"/>
        </w:rPr>
      </w:pPr>
      <w:r w:rsidRPr="003A0B67">
        <w:rPr>
          <w:rFonts w:ascii="Calibri" w:eastAsia="Calibri" w:hAnsi="Calibri" w:cs="Times New Roman"/>
          <w:sz w:val="22"/>
          <w:szCs w:val="22"/>
        </w:rPr>
        <w:t>Note générale : Dans tous les cas d'intoxication potentielle, un suivi médical est fortement recommandé.</w:t>
      </w:r>
    </w:p>
    <w:p w14:paraId="20BF6D48" w14:textId="77777777" w:rsidR="003A0B67" w:rsidRPr="003A0B67" w:rsidRDefault="003A0B67" w:rsidP="003A0B67">
      <w:pPr>
        <w:pStyle w:val="Corpsdetexte"/>
        <w:spacing w:before="2"/>
        <w:rPr>
          <w:rFonts w:ascii="Calibri" w:eastAsia="Calibri" w:hAnsi="Calibri" w:cs="Times New Roman"/>
          <w:sz w:val="22"/>
          <w:szCs w:val="22"/>
        </w:rPr>
      </w:pPr>
    </w:p>
    <w:p w14:paraId="6AD01535" w14:textId="77777777" w:rsidR="003A0B67" w:rsidRPr="003A0B67" w:rsidRDefault="003A0B67" w:rsidP="003A0B67">
      <w:pPr>
        <w:pStyle w:val="Corpsdetexte"/>
        <w:spacing w:before="1"/>
        <w:ind w:left="160"/>
        <w:rPr>
          <w:rFonts w:ascii="Calibri" w:eastAsia="Calibri" w:hAnsi="Calibri" w:cs="Times New Roman"/>
          <w:sz w:val="22"/>
          <w:szCs w:val="22"/>
        </w:rPr>
      </w:pPr>
      <w:r w:rsidRPr="003A0B67">
        <w:rPr>
          <w:rFonts w:ascii="Calibri" w:eastAsia="Calibri" w:hAnsi="Calibri" w:cs="Times New Roman"/>
          <w:sz w:val="22"/>
          <w:szCs w:val="22"/>
        </w:rPr>
        <w:t>Contact avec la peau : Retirer les vêtements souillés et ne les réutiliser qu'après décontamination.</w:t>
      </w:r>
    </w:p>
    <w:p w14:paraId="4BCA78FB" w14:textId="77777777" w:rsidR="003A0B67" w:rsidRPr="003A0B67" w:rsidRDefault="003A0B67" w:rsidP="003A0B67">
      <w:pPr>
        <w:pStyle w:val="Corpsdetexte"/>
        <w:spacing w:before="13" w:line="254" w:lineRule="auto"/>
        <w:ind w:left="160" w:right="3217"/>
        <w:rPr>
          <w:rFonts w:ascii="Calibri" w:eastAsia="Calibri" w:hAnsi="Calibri" w:cs="Times New Roman"/>
          <w:sz w:val="22"/>
          <w:szCs w:val="22"/>
        </w:rPr>
      </w:pPr>
      <w:r w:rsidRPr="003A0B67">
        <w:rPr>
          <w:rFonts w:ascii="Calibri" w:eastAsia="Calibri" w:hAnsi="Calibri" w:cs="Times New Roman"/>
          <w:sz w:val="22"/>
          <w:szCs w:val="22"/>
        </w:rPr>
        <w:t>Laver immédiatement et abondamment avec de l'eau et du savon. Rincer ensuite à l'eau claire. En cas d'irritations cutanées persistantes, consulter un médecin.</w:t>
      </w:r>
    </w:p>
    <w:p w14:paraId="31901039" w14:textId="77777777" w:rsidR="003A0B67" w:rsidRPr="003A0B67" w:rsidRDefault="003A0B67" w:rsidP="003A0B67">
      <w:pPr>
        <w:pStyle w:val="Corpsdetexte"/>
        <w:spacing w:before="2"/>
        <w:rPr>
          <w:rFonts w:ascii="Calibri" w:eastAsia="Calibri" w:hAnsi="Calibri" w:cs="Times New Roman"/>
          <w:sz w:val="22"/>
          <w:szCs w:val="22"/>
        </w:rPr>
      </w:pPr>
    </w:p>
    <w:p w14:paraId="7ECB28C7" w14:textId="77777777" w:rsidR="003A0B67" w:rsidRPr="003A0B67" w:rsidRDefault="003A0B67" w:rsidP="003A0B67">
      <w:pPr>
        <w:pStyle w:val="Corpsdetexte"/>
        <w:spacing w:line="254" w:lineRule="auto"/>
        <w:ind w:left="160" w:right="1225"/>
        <w:rPr>
          <w:rFonts w:ascii="Calibri" w:eastAsia="Calibri" w:hAnsi="Calibri" w:cs="Times New Roman"/>
          <w:sz w:val="22"/>
          <w:szCs w:val="22"/>
        </w:rPr>
      </w:pPr>
      <w:r w:rsidRPr="003A0B67">
        <w:rPr>
          <w:rFonts w:ascii="Calibri" w:eastAsia="Calibri" w:hAnsi="Calibri" w:cs="Times New Roman"/>
          <w:sz w:val="22"/>
          <w:szCs w:val="22"/>
        </w:rPr>
        <w:t>Contact avec les yeux : Rinçage abondant à l'eau pendant 15 minutes les paupières ouvertes puis lavage avec une lotion oculaire type Dacryosérum. Consulter un ophtalmologue en cas de trouble de la vision.</w:t>
      </w:r>
    </w:p>
    <w:p w14:paraId="52E864D6" w14:textId="77777777" w:rsidR="003A0B67" w:rsidRPr="003A0B67" w:rsidRDefault="003A0B67" w:rsidP="003A0B67">
      <w:pPr>
        <w:pStyle w:val="Corpsdetexte"/>
        <w:spacing w:before="3"/>
        <w:rPr>
          <w:rFonts w:ascii="Calibri" w:eastAsia="Calibri" w:hAnsi="Calibri" w:cs="Times New Roman"/>
          <w:sz w:val="22"/>
          <w:szCs w:val="22"/>
        </w:rPr>
      </w:pPr>
    </w:p>
    <w:p w14:paraId="38713A0A"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d'ingestion : Se rincer la bouche avec l'eau. Ne pas provoquer de vomissements. Consulter un médecin.</w:t>
      </w:r>
    </w:p>
    <w:p w14:paraId="6ACC525E" w14:textId="77777777" w:rsidR="003A0B67" w:rsidRPr="003A0B67" w:rsidRDefault="003A0B67" w:rsidP="003A0B67">
      <w:pPr>
        <w:pStyle w:val="Corpsdetexte"/>
        <w:spacing w:before="3"/>
        <w:rPr>
          <w:rFonts w:ascii="Calibri" w:eastAsia="Calibri" w:hAnsi="Calibri" w:cs="Times New Roman"/>
          <w:sz w:val="22"/>
          <w:szCs w:val="22"/>
        </w:rPr>
      </w:pPr>
    </w:p>
    <w:p w14:paraId="3B80DDF4" w14:textId="77777777" w:rsidR="003A0B67" w:rsidRPr="003A0B67" w:rsidRDefault="003A0B67" w:rsidP="003A0B67">
      <w:pPr>
        <w:pStyle w:val="Corpsdetexte"/>
        <w:ind w:left="160"/>
        <w:rPr>
          <w:rFonts w:ascii="Calibri" w:eastAsia="Calibri" w:hAnsi="Calibri" w:cs="Times New Roman"/>
          <w:sz w:val="22"/>
          <w:szCs w:val="22"/>
        </w:rPr>
      </w:pPr>
      <w:r w:rsidRPr="003A0B67">
        <w:rPr>
          <w:rFonts w:ascii="Calibri" w:eastAsia="Calibri" w:hAnsi="Calibri" w:cs="Times New Roman"/>
          <w:sz w:val="22"/>
          <w:szCs w:val="22"/>
        </w:rPr>
        <w:t>En cas d'inhalation : Retirer la personne affectée de la zone d'exposition et la placer à l'air frais. Demander dessoins médicaux si les symptômes s'aggravent.</w:t>
      </w:r>
    </w:p>
    <w:p w14:paraId="403C2B7F" w14:textId="77777777" w:rsidR="003A0B67" w:rsidRDefault="003A0B67" w:rsidP="00B84FFD">
      <w:pPr>
        <w:pBdr>
          <w:bottom w:val="single" w:sz="4" w:space="1" w:color="000000"/>
        </w:pBdr>
        <w:spacing w:before="120" w:after="120" w:line="240" w:lineRule="auto"/>
        <w:rPr>
          <w:rFonts w:cs="Calibri"/>
          <w:b/>
          <w:bCs/>
          <w:sz w:val="24"/>
          <w:szCs w:val="24"/>
        </w:rPr>
      </w:pPr>
    </w:p>
    <w:p w14:paraId="2B47428B" w14:textId="103AF0FF"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4.2. Principaux symptômes et effets, aigus et différés</w:t>
      </w:r>
    </w:p>
    <w:p w14:paraId="14894F98" w14:textId="348EACC6" w:rsidR="001E428B" w:rsidRPr="001E428B" w:rsidRDefault="001E428B" w:rsidP="001E428B">
      <w:pPr>
        <w:pStyle w:val="Corpsdetexte"/>
        <w:spacing w:before="119" w:line="276" w:lineRule="auto"/>
        <w:ind w:left="120"/>
        <w:rPr>
          <w:rFonts w:ascii="Calibri" w:eastAsia="Calibri" w:hAnsi="Calibri" w:cs="Times New Roman"/>
          <w:sz w:val="22"/>
          <w:szCs w:val="22"/>
        </w:rPr>
      </w:pPr>
      <w:r w:rsidRPr="001E428B">
        <w:rPr>
          <w:rFonts w:ascii="Calibri" w:eastAsia="Calibri" w:hAnsi="Calibri" w:cs="Times New Roman"/>
          <w:sz w:val="22"/>
          <w:szCs w:val="22"/>
        </w:rPr>
        <w:t>Symptômes/effets après inhalation</w:t>
      </w:r>
      <w:r>
        <w:rPr>
          <w:rFonts w:ascii="Calibri" w:eastAsia="Calibri" w:hAnsi="Calibri" w:cs="Times New Roman"/>
          <w:sz w:val="22"/>
          <w:szCs w:val="22"/>
        </w:rPr>
        <w:t xml:space="preserve"> </w:t>
      </w:r>
      <w:r w:rsidRPr="001E428B">
        <w:rPr>
          <w:rFonts w:ascii="Calibri" w:eastAsia="Calibri" w:hAnsi="Calibri" w:cs="Times New Roman"/>
          <w:sz w:val="22"/>
          <w:szCs w:val="22"/>
        </w:rPr>
        <w:t>: Bien que l’on ne dispose d’aucune donnée relative à une éventuelle toxicité pour l’homme et les animaux, le produit est considéré comme dangereux à l’inhalation.</w:t>
      </w:r>
    </w:p>
    <w:p w14:paraId="591BCAC8" w14:textId="77777777" w:rsidR="001E428B" w:rsidRDefault="001E428B" w:rsidP="001E428B">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avec la peau</w:t>
      </w:r>
      <w:r w:rsidRPr="001E428B">
        <w:rPr>
          <w:rFonts w:ascii="Calibri" w:eastAsia="Calibri" w:hAnsi="Calibri" w:cs="Times New Roman"/>
          <w:sz w:val="22"/>
          <w:szCs w:val="22"/>
        </w:rPr>
        <w:tab/>
        <w:t xml:space="preserve">: Irritation. Peut provoquer une allergie cutanée. </w:t>
      </w:r>
    </w:p>
    <w:p w14:paraId="43ADF08A" w14:textId="49584D87" w:rsidR="009508DA"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contact oculaire</w:t>
      </w:r>
      <w:r w:rsidRPr="001E428B">
        <w:rPr>
          <w:rFonts w:ascii="Calibri" w:eastAsia="Calibri" w:hAnsi="Calibri" w:cs="Times New Roman"/>
          <w:sz w:val="22"/>
          <w:szCs w:val="22"/>
        </w:rPr>
        <w:tab/>
        <w:t xml:space="preserve">: </w:t>
      </w:r>
      <w:r w:rsidR="00F41786">
        <w:t xml:space="preserve">: </w:t>
      </w:r>
      <w:r w:rsidR="00F41786" w:rsidRPr="00F41786">
        <w:rPr>
          <w:rFonts w:ascii="Calibri" w:eastAsia="Calibri" w:hAnsi="Calibri" w:cs="Times New Roman"/>
          <w:sz w:val="22"/>
          <w:szCs w:val="22"/>
        </w:rPr>
        <w:t>Irritation des yeux.</w:t>
      </w:r>
    </w:p>
    <w:p w14:paraId="29D32826" w14:textId="50435F5A" w:rsidR="001E428B" w:rsidRPr="001E428B" w:rsidRDefault="001E428B" w:rsidP="009508DA">
      <w:pPr>
        <w:pStyle w:val="Corpsdetexte"/>
        <w:tabs>
          <w:tab w:val="left" w:pos="3926"/>
        </w:tabs>
        <w:spacing w:before="37" w:line="276" w:lineRule="auto"/>
        <w:ind w:left="120" w:right="129"/>
        <w:rPr>
          <w:rFonts w:ascii="Calibri" w:eastAsia="Calibri" w:hAnsi="Calibri" w:cs="Times New Roman"/>
          <w:sz w:val="22"/>
          <w:szCs w:val="22"/>
        </w:rPr>
      </w:pPr>
      <w:r w:rsidRPr="001E428B">
        <w:rPr>
          <w:rFonts w:ascii="Calibri" w:eastAsia="Calibri" w:hAnsi="Calibri" w:cs="Times New Roman"/>
          <w:sz w:val="22"/>
          <w:szCs w:val="22"/>
        </w:rPr>
        <w:t>Symptômes/effets après ingestion</w:t>
      </w:r>
      <w:r w:rsidRPr="001E428B">
        <w:rPr>
          <w:rFonts w:ascii="Calibri" w:eastAsia="Calibri" w:hAnsi="Calibri" w:cs="Times New Roman"/>
          <w:sz w:val="22"/>
          <w:szCs w:val="22"/>
        </w:rPr>
        <w:tab/>
        <w:t>: Aucun(es) dans des conditions normales.</w:t>
      </w:r>
    </w:p>
    <w:p w14:paraId="549A17E8" w14:textId="54D63BFA" w:rsidR="00C410B2" w:rsidRDefault="004300B5" w:rsidP="001E428B">
      <w:pPr>
        <w:spacing w:before="120" w:after="120" w:line="240" w:lineRule="auto"/>
      </w:pPr>
      <w:r>
        <w:rPr>
          <w:spacing w:val="-5"/>
        </w:rPr>
        <w:t xml:space="preserve"> </w:t>
      </w:r>
    </w:p>
    <w:p w14:paraId="75ED741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4.3. Indication des éventuels soins médicaux immédiats et traitements particuliers nécessaires</w:t>
      </w:r>
    </w:p>
    <w:p w14:paraId="318AA5E4" w14:textId="77777777" w:rsidR="00B84FFD" w:rsidRDefault="00B84FFD" w:rsidP="00B84FFD">
      <w:pPr>
        <w:spacing w:before="120" w:after="120" w:line="240" w:lineRule="auto"/>
      </w:pPr>
      <w:r w:rsidRPr="00A24B11">
        <w:t>Traitement symptomatique.</w:t>
      </w:r>
    </w:p>
    <w:p w14:paraId="4ED09D36" w14:textId="77777777" w:rsidR="00B84FFD" w:rsidRDefault="00B84FFD" w:rsidP="00B84FFD">
      <w:pPr>
        <w:spacing w:before="120" w:after="120" w:line="240" w:lineRule="auto"/>
        <w:rPr>
          <w:rFonts w:cs="Calibri"/>
          <w:sz w:val="20"/>
          <w:szCs w:val="20"/>
        </w:rPr>
      </w:pPr>
    </w:p>
    <w:p w14:paraId="342C0300"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5 : Mesures de lutte contre l’incendie</w:t>
      </w:r>
    </w:p>
    <w:p w14:paraId="177BDD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5.1. Moyens d’extinction</w:t>
      </w:r>
    </w:p>
    <w:p w14:paraId="05EABB47" w14:textId="77777777" w:rsidR="00B84FFD" w:rsidRPr="00A24B11" w:rsidRDefault="00B84FFD" w:rsidP="00B84FFD">
      <w:pPr>
        <w:spacing w:before="120" w:after="120" w:line="240" w:lineRule="auto"/>
        <w:rPr>
          <w:rFonts w:cs="Calibri"/>
          <w:sz w:val="20"/>
          <w:szCs w:val="20"/>
        </w:rPr>
      </w:pPr>
      <w:r w:rsidRPr="00A24B11">
        <w:t>Moyens d’extinction appropriés : Eau pulvérisée. Poudre sèche. Mousse. Dioxyde de carbone.</w:t>
      </w:r>
    </w:p>
    <w:p w14:paraId="191F3F01" w14:textId="77777777" w:rsidR="00B84FFD" w:rsidRPr="00A24B11"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5.2. Dangers particuliers résultant de la substance ou du mélange</w:t>
      </w:r>
    </w:p>
    <w:p w14:paraId="5EC0C348" w14:textId="77777777" w:rsidR="00B84FFD" w:rsidRPr="00A24B11" w:rsidRDefault="00B84FFD" w:rsidP="00B84FFD">
      <w:pPr>
        <w:spacing w:before="120" w:after="120" w:line="240" w:lineRule="auto"/>
        <w:rPr>
          <w:rFonts w:cs="Calibri"/>
          <w:sz w:val="20"/>
          <w:szCs w:val="20"/>
        </w:rPr>
      </w:pPr>
      <w:r w:rsidRPr="00A24B11">
        <w:t>Produits de décomposition dangereux en cas d’incendie : Dégagement possible de fumées toxiques.</w:t>
      </w:r>
    </w:p>
    <w:p w14:paraId="24108AA8" w14:textId="77777777" w:rsidR="00B84FFD" w:rsidRDefault="00B84FFD" w:rsidP="00B84FFD">
      <w:pPr>
        <w:pBdr>
          <w:bottom w:val="single" w:sz="4" w:space="1" w:color="000000"/>
        </w:pBdr>
        <w:spacing w:before="120" w:after="120" w:line="240" w:lineRule="auto"/>
        <w:rPr>
          <w:rFonts w:cs="Calibri"/>
          <w:b/>
          <w:bCs/>
          <w:sz w:val="24"/>
          <w:szCs w:val="24"/>
        </w:rPr>
      </w:pPr>
      <w:r w:rsidRPr="00A24B11">
        <w:rPr>
          <w:rFonts w:cs="Calibri"/>
          <w:b/>
          <w:bCs/>
          <w:sz w:val="24"/>
          <w:szCs w:val="24"/>
        </w:rPr>
        <w:t>5.3. Conseils aux pompiers</w:t>
      </w:r>
    </w:p>
    <w:p w14:paraId="29A41F48" w14:textId="77777777" w:rsidR="00B84FFD" w:rsidRDefault="00B84FFD" w:rsidP="00B84FFD">
      <w:pPr>
        <w:spacing w:before="120" w:after="120" w:line="240" w:lineRule="auto"/>
        <w:rPr>
          <w:rFonts w:cs="Calibri"/>
          <w:sz w:val="20"/>
          <w:szCs w:val="20"/>
        </w:rPr>
      </w:pPr>
      <w:r w:rsidRPr="00A24B11">
        <w:t>Protection en cas d’incendie : Ne pas intervenir sans un équipement de protection adapté. Appareil de protection respiratoire autonome isolant. Protection complète du corps.</w:t>
      </w:r>
    </w:p>
    <w:p w14:paraId="1850D53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6 : Mesures à prendre en cas de déversement accidentel</w:t>
      </w:r>
    </w:p>
    <w:p w14:paraId="701154F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6.1. Précautions individuelles, équipement de protection et procédures d’urgence</w:t>
      </w:r>
    </w:p>
    <w:p w14:paraId="63F52600"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4EBFB686" w14:textId="77777777" w:rsidR="00B84FFD" w:rsidRPr="00BB760D" w:rsidRDefault="00B84FFD" w:rsidP="00B84FFD">
      <w:pPr>
        <w:spacing w:before="120" w:after="120" w:line="240" w:lineRule="auto"/>
        <w:rPr>
          <w:rFonts w:cs="Calibri"/>
        </w:rPr>
      </w:pPr>
      <w:r w:rsidRPr="00BB760D">
        <w:rPr>
          <w:rFonts w:cs="Calibri"/>
        </w:rPr>
        <w:t>Assurer une aération suffisante.</w:t>
      </w:r>
    </w:p>
    <w:p w14:paraId="2BCA1B6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6.2. Précautions pour la protection de l’environnement</w:t>
      </w:r>
    </w:p>
    <w:p w14:paraId="038B2242" w14:textId="77777777" w:rsidR="00B84FFD" w:rsidRPr="00BB760D" w:rsidRDefault="00B84FFD" w:rsidP="00B84FFD">
      <w:pPr>
        <w:spacing w:before="120" w:after="120" w:line="240" w:lineRule="auto"/>
        <w:rPr>
          <w:rFonts w:cs="Calibri"/>
        </w:rPr>
      </w:pPr>
      <w:r w:rsidRPr="00BB760D">
        <w:rPr>
          <w:rFonts w:cs="Calibri"/>
        </w:rPr>
        <w:t>Eviter le rejet à l’égout, ne pas laisser s’écouler les résidus de cire dans les eaux courantes.</w:t>
      </w:r>
    </w:p>
    <w:p w14:paraId="0BADE28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6.3. Méthodes et matériel de confinement et de nettoyage</w:t>
      </w:r>
    </w:p>
    <w:p w14:paraId="28D8BA8D" w14:textId="77777777" w:rsidR="00B84FFD" w:rsidRPr="00BB760D" w:rsidRDefault="00B84FFD" w:rsidP="00B84FFD">
      <w:pPr>
        <w:spacing w:before="120" w:after="120" w:line="240" w:lineRule="auto"/>
        <w:rPr>
          <w:rFonts w:cs="Calibri"/>
        </w:rPr>
      </w:pPr>
      <w:r w:rsidRPr="00BB760D">
        <w:rPr>
          <w:rFonts w:cs="Calibri"/>
        </w:rPr>
        <w:t>Récupérer le maximum de produit et le stocker dans des récipients hermétiques.</w:t>
      </w:r>
    </w:p>
    <w:p w14:paraId="1D7974B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6.4. Référence à d'autres rubriques</w:t>
      </w:r>
    </w:p>
    <w:p w14:paraId="577F3A84" w14:textId="77777777" w:rsidR="00B84FFD" w:rsidRPr="00BB760D" w:rsidRDefault="00B84FFD" w:rsidP="00B84FFD">
      <w:pPr>
        <w:spacing w:before="120" w:after="120" w:line="240" w:lineRule="auto"/>
        <w:rPr>
          <w:rFonts w:cs="Calibri"/>
        </w:rPr>
      </w:pPr>
      <w:r w:rsidRPr="00BB760D">
        <w:rPr>
          <w:rFonts w:cs="Calibri"/>
        </w:rPr>
        <w:t>Voir rubrique 13</w:t>
      </w:r>
    </w:p>
    <w:p w14:paraId="46F4AFF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7 : Manipulation et stockage</w:t>
      </w:r>
    </w:p>
    <w:p w14:paraId="340FAB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7.1. Précautions à prendre pour une manipulation sans danger</w:t>
      </w:r>
    </w:p>
    <w:p w14:paraId="58207DD6" w14:textId="77777777" w:rsidR="00B84FFD" w:rsidRPr="00BB760D" w:rsidRDefault="00B84FFD" w:rsidP="00B84FFD">
      <w:pPr>
        <w:spacing w:before="120" w:after="120" w:line="240" w:lineRule="auto"/>
        <w:rPr>
          <w:rFonts w:cs="Calibri"/>
        </w:rPr>
      </w:pPr>
      <w:r w:rsidRPr="00BB760D">
        <w:rPr>
          <w:rFonts w:cs="Calibri"/>
        </w:rPr>
        <w:t>Maintenir les lieux propres et ordonnés. Se laver les mains après utilisation, ne pas manger boire et fumer durant l’utilisation.</w:t>
      </w:r>
    </w:p>
    <w:p w14:paraId="71885C3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7.2. Conditions nécessaires pour assurer la sécurité du stockage, tenant compte d’éventuelles incompatibilités</w:t>
      </w:r>
    </w:p>
    <w:p w14:paraId="1746DC9D" w14:textId="77777777" w:rsidR="00B84FFD" w:rsidRPr="00BB760D" w:rsidRDefault="00B84FFD" w:rsidP="00B84FFD">
      <w:pPr>
        <w:spacing w:before="120" w:after="120" w:line="240" w:lineRule="auto"/>
        <w:rPr>
          <w:rFonts w:cs="Calibri"/>
        </w:rPr>
      </w:pPr>
      <w:r w:rsidRPr="00BB760D">
        <w:rPr>
          <w:rFonts w:cs="Calibri"/>
        </w:rPr>
        <w:t>Température de stockage minimale conseillée : 5°C</w:t>
      </w:r>
    </w:p>
    <w:p w14:paraId="148A27B6" w14:textId="77777777" w:rsidR="00B84FFD" w:rsidRPr="00BB760D" w:rsidRDefault="00B84FFD" w:rsidP="00B84FFD">
      <w:pPr>
        <w:spacing w:before="120" w:after="120" w:line="240" w:lineRule="auto"/>
        <w:rPr>
          <w:rFonts w:cs="Calibri"/>
        </w:rPr>
      </w:pPr>
      <w:r w:rsidRPr="00BB760D">
        <w:rPr>
          <w:rFonts w:cs="Calibri"/>
        </w:rPr>
        <w:t>Température de stockage maximale conseillée : 35°C</w:t>
      </w:r>
    </w:p>
    <w:p w14:paraId="13223F32" w14:textId="77777777" w:rsidR="00B84FFD" w:rsidRPr="00BB760D" w:rsidRDefault="00B84FFD" w:rsidP="00B84FFD">
      <w:pPr>
        <w:spacing w:before="120" w:after="120" w:line="240" w:lineRule="auto"/>
        <w:rPr>
          <w:rFonts w:cs="Calibri"/>
        </w:rPr>
      </w:pPr>
      <w:r w:rsidRPr="00BB760D">
        <w:rPr>
          <w:rFonts w:cs="Calibri"/>
        </w:rPr>
        <w:t>Condition de stockage : Conserver uniquement dans le récipient d’origine dans un endroit frais et bien ventilé. Garder les conteneurs fermés en dehors de leur utilisation.</w:t>
      </w:r>
    </w:p>
    <w:p w14:paraId="23DF1EFB" w14:textId="77777777" w:rsidR="00B84FFD" w:rsidRPr="00BB760D" w:rsidRDefault="00B84FFD" w:rsidP="00B84FFD">
      <w:pPr>
        <w:spacing w:before="120" w:after="120" w:line="240" w:lineRule="auto"/>
        <w:rPr>
          <w:rFonts w:cs="Calibri"/>
        </w:rPr>
      </w:pPr>
      <w:r w:rsidRPr="00BB760D">
        <w:rPr>
          <w:rFonts w:cs="Calibri"/>
        </w:rPr>
        <w:t>Produits incompatibles : Bases fortes et acides forts</w:t>
      </w:r>
    </w:p>
    <w:p w14:paraId="41B45767" w14:textId="77777777" w:rsidR="00B84FFD" w:rsidRPr="00BB760D" w:rsidRDefault="00B84FFD" w:rsidP="00B84FFD">
      <w:pPr>
        <w:spacing w:before="120" w:after="120" w:line="240" w:lineRule="auto"/>
        <w:rPr>
          <w:rFonts w:cs="Calibri"/>
        </w:rPr>
      </w:pPr>
      <w:r w:rsidRPr="00BB760D">
        <w:rPr>
          <w:rFonts w:cs="Calibri"/>
        </w:rPr>
        <w:t>Matières incompatibles : Source d’inflammation. Rayons directs du soleil.</w:t>
      </w:r>
    </w:p>
    <w:p w14:paraId="3E89EA8D" w14:textId="77777777" w:rsidR="00B84FFD" w:rsidRPr="00BB760D" w:rsidRDefault="00B84FFD" w:rsidP="00B84FFD">
      <w:pPr>
        <w:spacing w:before="120" w:after="120" w:line="240" w:lineRule="auto"/>
        <w:rPr>
          <w:rFonts w:cs="Calibri"/>
        </w:rPr>
      </w:pPr>
      <w:r w:rsidRPr="00BB760D">
        <w:rPr>
          <w:rFonts w:cs="Calibri"/>
        </w:rPr>
        <w:t>Durée de stockage maximale : 12 mois.</w:t>
      </w:r>
    </w:p>
    <w:p w14:paraId="4BF7FEC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7.3. Utilisation(s) finale(s) particulière(s)</w:t>
      </w:r>
    </w:p>
    <w:p w14:paraId="03F63D84"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18A291E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8 : Contrôles de l’exposition/Protection individuelle</w:t>
      </w:r>
    </w:p>
    <w:p w14:paraId="2FC4E19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8.1. Paramètres de contrôle</w:t>
      </w:r>
    </w:p>
    <w:p w14:paraId="2F0EB240" w14:textId="77777777" w:rsidR="00B84FFD" w:rsidRPr="00BB760D" w:rsidRDefault="00B84FFD" w:rsidP="00B84FFD">
      <w:pPr>
        <w:spacing w:before="120" w:after="120" w:line="240" w:lineRule="auto"/>
        <w:rPr>
          <w:rFonts w:cs="Calibri"/>
        </w:rPr>
      </w:pPr>
      <w:r w:rsidRPr="00BB760D">
        <w:rPr>
          <w:rFonts w:cs="Calibri"/>
        </w:rPr>
        <w:t>Pas d’informations complémentaires disponibles.</w:t>
      </w:r>
    </w:p>
    <w:p w14:paraId="61D8FFAA"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8.2. Contrôles de l’exposition</w:t>
      </w:r>
    </w:p>
    <w:p w14:paraId="5CD5025C" w14:textId="77777777" w:rsidR="00B84FFD" w:rsidRPr="00BB760D" w:rsidRDefault="00B84FFD" w:rsidP="00B84FFD">
      <w:pPr>
        <w:spacing w:before="120" w:after="120" w:line="240" w:lineRule="auto"/>
        <w:rPr>
          <w:rFonts w:cs="Calibri"/>
        </w:rPr>
      </w:pPr>
      <w:r w:rsidRPr="00BB760D">
        <w:rPr>
          <w:rFonts w:cs="Calibri"/>
        </w:rPr>
        <w:t>Equipements de protection individuelle :</w:t>
      </w:r>
      <w:r>
        <w:rPr>
          <w:rFonts w:cs="Calibri"/>
        </w:rPr>
        <w:t xml:space="preserve"> </w:t>
      </w:r>
      <w:r w:rsidRPr="00BB760D">
        <w:rPr>
          <w:rFonts w:cs="Calibri"/>
        </w:rPr>
        <w:t>Eviter toute exposition inutile.</w:t>
      </w:r>
    </w:p>
    <w:p w14:paraId="72C868F2" w14:textId="77777777" w:rsidR="00B84FFD" w:rsidRDefault="00B84FFD" w:rsidP="00B84FFD">
      <w:pPr>
        <w:spacing w:before="120" w:after="120" w:line="240" w:lineRule="auto"/>
        <w:rPr>
          <w:rFonts w:cs="Calibri"/>
        </w:rPr>
      </w:pPr>
      <w:r w:rsidRPr="00BB760D">
        <w:rPr>
          <w:rFonts w:cs="Calibri"/>
        </w:rPr>
        <w:t>Autres informations : Ne pas manger, ne pas boire et ne pas fumer pendant l’utilisation.</w:t>
      </w:r>
    </w:p>
    <w:p w14:paraId="0D6F10D7" w14:textId="77777777" w:rsidR="00B84FFD" w:rsidRPr="00BB760D" w:rsidRDefault="00B84FFD" w:rsidP="00B84FFD">
      <w:pPr>
        <w:spacing w:before="120" w:after="120" w:line="240" w:lineRule="auto"/>
        <w:rPr>
          <w:rFonts w:cs="Calibri"/>
        </w:rPr>
      </w:pPr>
    </w:p>
    <w:p w14:paraId="78E5C492"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9 : Propriétés physiques et chimiques</w:t>
      </w:r>
    </w:p>
    <w:p w14:paraId="21B3054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9.1. Informations sur les propriétés physiques et chimiques essentielles</w:t>
      </w:r>
    </w:p>
    <w:p w14:paraId="6BDE78E4" w14:textId="77777777" w:rsidR="00B84FFD" w:rsidRPr="00BB760D" w:rsidRDefault="00B84FFD" w:rsidP="00B84FFD">
      <w:pPr>
        <w:spacing w:before="120" w:after="120" w:line="240" w:lineRule="auto"/>
        <w:rPr>
          <w:rFonts w:cs="Calibri"/>
        </w:rPr>
      </w:pPr>
      <w:r w:rsidRPr="00BB760D">
        <w:rPr>
          <w:rFonts w:cs="Calibri"/>
        </w:rPr>
        <w:t>État physique : solide</w:t>
      </w:r>
    </w:p>
    <w:p w14:paraId="50D0A595" w14:textId="77777777" w:rsidR="00B84FFD" w:rsidRPr="00BB760D" w:rsidRDefault="00B84FFD" w:rsidP="00B84FFD">
      <w:pPr>
        <w:spacing w:before="120" w:after="120" w:line="240" w:lineRule="auto"/>
        <w:rPr>
          <w:rFonts w:cs="Calibri"/>
        </w:rPr>
      </w:pPr>
      <w:r w:rsidRPr="00BB760D">
        <w:rPr>
          <w:rFonts w:cs="Calibri"/>
        </w:rPr>
        <w:t>Couleur : Blanchâtre</w:t>
      </w:r>
    </w:p>
    <w:p w14:paraId="6F6D2E8D" w14:textId="77777777" w:rsidR="00B84FFD" w:rsidRPr="00BB760D" w:rsidRDefault="00B84FFD" w:rsidP="00B84FFD">
      <w:pPr>
        <w:spacing w:before="120" w:after="120" w:line="240" w:lineRule="auto"/>
        <w:rPr>
          <w:rFonts w:cs="Calibri"/>
        </w:rPr>
      </w:pPr>
      <w:r w:rsidRPr="00BB760D">
        <w:rPr>
          <w:rFonts w:cs="Calibri"/>
        </w:rPr>
        <w:t>Odeur : Caractéristique</w:t>
      </w:r>
    </w:p>
    <w:p w14:paraId="4A9FC6DE" w14:textId="77777777" w:rsidR="00B84FFD" w:rsidRPr="00BB760D" w:rsidRDefault="00B84FFD" w:rsidP="00B84FFD">
      <w:pPr>
        <w:spacing w:before="120" w:after="120" w:line="240" w:lineRule="auto"/>
        <w:rPr>
          <w:rFonts w:cs="Calibri"/>
        </w:rPr>
      </w:pPr>
      <w:r w:rsidRPr="00BB760D">
        <w:rPr>
          <w:rFonts w:cs="Calibri"/>
        </w:rPr>
        <w:t xml:space="preserve">Point de fusion/point de congélation : </w:t>
      </w:r>
      <w:r w:rsidRPr="00A24B11">
        <w:rPr>
          <w:rFonts w:cs="Calibri"/>
        </w:rPr>
        <w:t>50°C</w:t>
      </w:r>
    </w:p>
    <w:p w14:paraId="6E9CFEFF" w14:textId="77777777" w:rsidR="00B84FFD" w:rsidRPr="00BB760D" w:rsidRDefault="00B84FFD" w:rsidP="00B84FFD">
      <w:pPr>
        <w:spacing w:before="120" w:after="120" w:line="240" w:lineRule="auto"/>
        <w:rPr>
          <w:rFonts w:cs="Calibri"/>
        </w:rPr>
      </w:pPr>
      <w:r w:rsidRPr="00BB760D">
        <w:rPr>
          <w:rFonts w:cs="Calibri"/>
        </w:rPr>
        <w:t>Point d’ébullition ou point initial d’ébullition et intervalle d’ébullition : aucune donnée disponible</w:t>
      </w:r>
    </w:p>
    <w:p w14:paraId="17EF805D" w14:textId="77777777" w:rsidR="00B84FFD" w:rsidRPr="00BB760D" w:rsidRDefault="00B84FFD" w:rsidP="00B84FFD">
      <w:pPr>
        <w:spacing w:before="120" w:after="120" w:line="240" w:lineRule="auto"/>
        <w:rPr>
          <w:rFonts w:cs="Calibri"/>
        </w:rPr>
      </w:pPr>
      <w:r w:rsidRPr="00BB760D">
        <w:rPr>
          <w:rFonts w:cs="Calibri"/>
        </w:rPr>
        <w:t>Inflammabilité : aucune donnée disponible</w:t>
      </w:r>
    </w:p>
    <w:p w14:paraId="5A1C2FD9" w14:textId="77777777" w:rsidR="00B84FFD" w:rsidRPr="00BB760D" w:rsidRDefault="00B84FFD" w:rsidP="00B84FFD">
      <w:pPr>
        <w:spacing w:before="120" w:after="120" w:line="240" w:lineRule="auto"/>
        <w:rPr>
          <w:rFonts w:cs="Calibri"/>
        </w:rPr>
      </w:pPr>
      <w:r w:rsidRPr="00BB760D">
        <w:rPr>
          <w:rFonts w:cs="Calibri"/>
        </w:rPr>
        <w:t>Point d’éclair : 200°C</w:t>
      </w:r>
    </w:p>
    <w:p w14:paraId="06647D4A" w14:textId="77777777" w:rsidR="00B84FFD" w:rsidRPr="00BB760D" w:rsidRDefault="00B84FFD" w:rsidP="00B84FFD">
      <w:pPr>
        <w:spacing w:before="120" w:after="120" w:line="240" w:lineRule="auto"/>
        <w:rPr>
          <w:rFonts w:cs="Calibri"/>
        </w:rPr>
      </w:pPr>
      <w:r w:rsidRPr="00BB760D">
        <w:rPr>
          <w:rFonts w:cs="Calibri"/>
        </w:rPr>
        <w:t>Température d’auto-inflammation : aucune donnée disponible</w:t>
      </w:r>
    </w:p>
    <w:p w14:paraId="5827311C" w14:textId="77777777" w:rsidR="00B84FFD" w:rsidRPr="00BB760D" w:rsidRDefault="00B84FFD" w:rsidP="00B84FFD">
      <w:pPr>
        <w:spacing w:before="120" w:after="120" w:line="240" w:lineRule="auto"/>
        <w:rPr>
          <w:rFonts w:cs="Calibri"/>
        </w:rPr>
      </w:pPr>
      <w:r w:rsidRPr="00BB760D">
        <w:rPr>
          <w:rFonts w:cs="Calibri"/>
        </w:rPr>
        <w:lastRenderedPageBreak/>
        <w:t>pH : aucune donnée disponible</w:t>
      </w:r>
    </w:p>
    <w:p w14:paraId="7293E5F9" w14:textId="77777777" w:rsidR="00B84FFD" w:rsidRPr="00BB760D" w:rsidRDefault="00B84FFD" w:rsidP="00B84FFD">
      <w:pPr>
        <w:spacing w:before="120" w:after="120" w:line="240" w:lineRule="auto"/>
        <w:rPr>
          <w:rFonts w:cs="Calibri"/>
        </w:rPr>
      </w:pPr>
      <w:r w:rsidRPr="00BB760D">
        <w:rPr>
          <w:rFonts w:cs="Calibri"/>
        </w:rPr>
        <w:t>Viscosité cinématique : aucune donnée disponible</w:t>
      </w:r>
    </w:p>
    <w:p w14:paraId="2EEA6364" w14:textId="77777777" w:rsidR="00B84FFD" w:rsidRPr="00BB760D" w:rsidRDefault="00B84FFD" w:rsidP="00B84FFD">
      <w:pPr>
        <w:spacing w:before="120" w:after="120" w:line="240" w:lineRule="auto"/>
        <w:rPr>
          <w:rFonts w:cs="Calibri"/>
        </w:rPr>
      </w:pPr>
      <w:r w:rsidRPr="00BB760D">
        <w:rPr>
          <w:rFonts w:cs="Calibri"/>
        </w:rPr>
        <w:t>Solubilité : non soluble</w:t>
      </w:r>
    </w:p>
    <w:p w14:paraId="70F3B66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9.2. Autres informations</w:t>
      </w:r>
    </w:p>
    <w:p w14:paraId="50A8E39B" w14:textId="77777777" w:rsidR="00B84FFD" w:rsidRPr="00E52CE8" w:rsidRDefault="00B84FFD" w:rsidP="00B84FFD">
      <w:pPr>
        <w:spacing w:before="120" w:after="120" w:line="240" w:lineRule="auto"/>
        <w:rPr>
          <w:rFonts w:cs="Calibri"/>
        </w:rPr>
      </w:pPr>
      <w:r w:rsidRPr="00BB760D">
        <w:rPr>
          <w:rFonts w:cs="Calibri"/>
        </w:rPr>
        <w:t>Pas d’informations complémentaires disponibles.</w:t>
      </w:r>
    </w:p>
    <w:p w14:paraId="7A30A405"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10 : Stabilité et réactivité</w:t>
      </w:r>
    </w:p>
    <w:p w14:paraId="3711578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10.1. Réactivité</w:t>
      </w:r>
    </w:p>
    <w:p w14:paraId="2F582F90" w14:textId="77777777" w:rsidR="00B84FFD" w:rsidRDefault="00B84FFD" w:rsidP="00B84FFD">
      <w:pPr>
        <w:spacing w:before="120" w:after="120" w:line="240" w:lineRule="auto"/>
        <w:rPr>
          <w:rFonts w:cs="Calibri"/>
          <w:sz w:val="20"/>
          <w:szCs w:val="20"/>
        </w:rPr>
      </w:pPr>
      <w:r>
        <w:t>Le produit n’est pas réactif dans les conditions normales d’utilisation, de stockage et de transport.</w:t>
      </w:r>
    </w:p>
    <w:p w14:paraId="6525666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10.2. Stabilité chimique</w:t>
      </w:r>
    </w:p>
    <w:p w14:paraId="66D65502" w14:textId="77777777" w:rsidR="00B84FFD" w:rsidRDefault="00B84FFD" w:rsidP="00B84FFD">
      <w:pPr>
        <w:spacing w:before="120" w:after="120" w:line="240" w:lineRule="auto"/>
        <w:rPr>
          <w:rFonts w:cs="Calibri"/>
          <w:sz w:val="20"/>
          <w:szCs w:val="20"/>
        </w:rPr>
      </w:pPr>
      <w:r>
        <w:t>Stable dans les conditions normales.</w:t>
      </w:r>
    </w:p>
    <w:p w14:paraId="4788148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10.3. Possibilité de réactions dangereuses</w:t>
      </w:r>
    </w:p>
    <w:p w14:paraId="4A8860F9" w14:textId="77777777" w:rsidR="00B84FFD" w:rsidRDefault="00B84FFD" w:rsidP="00B84FFD">
      <w:pPr>
        <w:spacing w:before="120" w:after="120" w:line="240" w:lineRule="auto"/>
        <w:rPr>
          <w:rFonts w:cs="Calibri"/>
          <w:sz w:val="20"/>
          <w:szCs w:val="20"/>
        </w:rPr>
      </w:pPr>
      <w:r>
        <w:t>Pas de réaction dangereuse connue dans les conditions normales d’emploi.</w:t>
      </w:r>
    </w:p>
    <w:p w14:paraId="6CFD19C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10.4. Conditions à éviter</w:t>
      </w:r>
    </w:p>
    <w:p w14:paraId="44D3DC83" w14:textId="77777777" w:rsidR="00B84FFD" w:rsidRDefault="00B84FFD" w:rsidP="00B84FFD">
      <w:pPr>
        <w:spacing w:before="120" w:after="120" w:line="240" w:lineRule="auto"/>
        <w:rPr>
          <w:rFonts w:cs="Calibri"/>
          <w:sz w:val="20"/>
          <w:szCs w:val="20"/>
        </w:rPr>
      </w:pPr>
      <w:r>
        <w:t>Aucune dans des conditions de stockage et de manipulation recommandées (voir rubrique 7).</w:t>
      </w:r>
    </w:p>
    <w:p w14:paraId="0EBF5DF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10.5. Matières incompatibles</w:t>
      </w:r>
    </w:p>
    <w:p w14:paraId="5E8588ED" w14:textId="77777777" w:rsidR="00B84FFD" w:rsidRDefault="00B84FFD" w:rsidP="00B84FFD">
      <w:pPr>
        <w:spacing w:before="120" w:after="120" w:line="240" w:lineRule="auto"/>
        <w:rPr>
          <w:rFonts w:cs="Calibri"/>
          <w:sz w:val="20"/>
          <w:szCs w:val="20"/>
        </w:rPr>
      </w:pPr>
      <w:r>
        <w:t>Pas d’informations complémentaires disponibles</w:t>
      </w:r>
    </w:p>
    <w:p w14:paraId="43E2DA0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10.6. Produits de décomposition dangereux</w:t>
      </w:r>
    </w:p>
    <w:p w14:paraId="70D2B733" w14:textId="77777777" w:rsidR="00B84FFD" w:rsidRDefault="00B84FFD" w:rsidP="00B84FFD">
      <w:pPr>
        <w:spacing w:before="120" w:after="120" w:line="240" w:lineRule="auto"/>
      </w:pPr>
      <w:r>
        <w:t>Aucun produit de décomposition dangereux ne devrait être généré dans les conditions normales de stockage et d’emploi.</w:t>
      </w:r>
    </w:p>
    <w:p w14:paraId="0080D65C"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11 : Informations toxicologiques</w:t>
      </w:r>
    </w:p>
    <w:p w14:paraId="69AC38C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11.1. Informations sur les effets toxicologiques</w:t>
      </w:r>
    </w:p>
    <w:p w14:paraId="64C0359B" w14:textId="77777777" w:rsidR="00955F98" w:rsidRDefault="00955F98" w:rsidP="00955F98">
      <w:pPr>
        <w:spacing w:after="230" w:line="250" w:lineRule="auto"/>
        <w:ind w:left="-5" w:right="562" w:hanging="10"/>
        <w:jc w:val="both"/>
      </w:pPr>
      <w:r>
        <w:rPr>
          <w:rFonts w:ascii="Arial" w:eastAsia="Arial" w:hAnsi="Arial" w:cs="Arial"/>
          <w:sz w:val="20"/>
        </w:rPr>
        <w:t>Information toxicologique: pas de données à ce jour.</w:t>
      </w:r>
    </w:p>
    <w:p w14:paraId="3CD55AC5" w14:textId="77777777" w:rsidR="00955F98" w:rsidRDefault="00955F98" w:rsidP="00955F98">
      <w:pPr>
        <w:spacing w:after="4" w:line="250" w:lineRule="auto"/>
        <w:ind w:left="-5" w:right="562" w:hanging="10"/>
        <w:jc w:val="both"/>
      </w:pPr>
      <w:r>
        <w:rPr>
          <w:rFonts w:ascii="Arial" w:eastAsia="Arial" w:hAnsi="Arial" w:cs="Arial"/>
          <w:sz w:val="20"/>
        </w:rPr>
        <w:t xml:space="preserve">Information sur la toxicité aigüe : </w:t>
      </w:r>
    </w:p>
    <w:p w14:paraId="6007FAC7" w14:textId="77777777" w:rsidR="00955F98" w:rsidRDefault="00955F98" w:rsidP="00955F98">
      <w:pPr>
        <w:spacing w:after="39" w:line="250" w:lineRule="auto"/>
      </w:pPr>
      <w:r>
        <w:tab/>
      </w:r>
      <w:r>
        <w:rPr>
          <w:rFonts w:ascii="Arial" w:eastAsia="Arial" w:hAnsi="Arial" w:cs="Arial"/>
          <w:sz w:val="20"/>
        </w:rPr>
        <w:t>·</w:t>
      </w:r>
      <w:r>
        <w:rPr>
          <w:rFonts w:ascii="Arial" w:eastAsia="Arial" w:hAnsi="Arial" w:cs="Arial"/>
          <w:sz w:val="20"/>
        </w:rPr>
        <w:tab/>
      </w:r>
      <w:r>
        <w:rPr>
          <w:rFonts w:ascii="Arial" w:eastAsia="Arial" w:hAnsi="Arial" w:cs="Arial"/>
          <w:color w:val="FFFFFF"/>
          <w:sz w:val="20"/>
        </w:rPr>
        <w:t xml:space="preserve"> </w:t>
      </w:r>
      <w:r>
        <w:rPr>
          <w:rFonts w:ascii="Arial" w:eastAsia="Arial" w:hAnsi="Arial" w:cs="Arial"/>
          <w:sz w:val="20"/>
        </w:rPr>
        <w:t>Orale</w:t>
      </w:r>
    </w:p>
    <w:p w14:paraId="2D2C7B83" w14:textId="77777777" w:rsidR="00955F98" w:rsidRDefault="00955F98" w:rsidP="00955F98">
      <w:pPr>
        <w:spacing w:after="45" w:line="250" w:lineRule="auto"/>
        <w:ind w:left="-5" w:right="562" w:hanging="10"/>
        <w:jc w:val="both"/>
      </w:pPr>
      <w:r>
        <w:rPr>
          <w:rFonts w:ascii="Arial" w:eastAsia="Arial" w:hAnsi="Arial" w:cs="Arial"/>
          <w:sz w:val="20"/>
        </w:rPr>
        <w:t xml:space="preserve">Non déterminée </w:t>
      </w:r>
    </w:p>
    <w:p w14:paraId="1E8B148D" w14:textId="77777777" w:rsidR="00955F98" w:rsidRDefault="00955F98" w:rsidP="00955F98">
      <w:pPr>
        <w:spacing w:after="38" w:line="250" w:lineRule="auto"/>
      </w:pPr>
      <w:r>
        <w:tab/>
      </w:r>
      <w:r>
        <w:rPr>
          <w:rFonts w:ascii="Arial" w:eastAsia="Arial" w:hAnsi="Arial" w:cs="Arial"/>
          <w:sz w:val="20"/>
        </w:rPr>
        <w:t>·</w:t>
      </w:r>
      <w:r>
        <w:rPr>
          <w:rFonts w:ascii="Arial" w:eastAsia="Arial" w:hAnsi="Arial" w:cs="Arial"/>
          <w:sz w:val="20"/>
        </w:rPr>
        <w:tab/>
      </w:r>
      <w:r>
        <w:rPr>
          <w:rFonts w:ascii="Arial" w:eastAsia="Arial" w:hAnsi="Arial" w:cs="Arial"/>
          <w:color w:val="FFFFFF"/>
          <w:sz w:val="20"/>
        </w:rPr>
        <w:t xml:space="preserve"> </w:t>
      </w:r>
      <w:r>
        <w:rPr>
          <w:rFonts w:ascii="Arial" w:eastAsia="Arial" w:hAnsi="Arial" w:cs="Arial"/>
          <w:sz w:val="20"/>
        </w:rPr>
        <w:t>Inhalation</w:t>
      </w:r>
    </w:p>
    <w:p w14:paraId="58A03565" w14:textId="77777777" w:rsidR="00955F98" w:rsidRDefault="00955F98" w:rsidP="00955F98">
      <w:pPr>
        <w:spacing w:after="45" w:line="250" w:lineRule="auto"/>
        <w:ind w:left="-5" w:right="562" w:hanging="10"/>
        <w:jc w:val="both"/>
      </w:pPr>
      <w:r>
        <w:rPr>
          <w:rFonts w:ascii="Arial" w:eastAsia="Arial" w:hAnsi="Arial" w:cs="Arial"/>
          <w:sz w:val="20"/>
        </w:rPr>
        <w:t xml:space="preserve">Non déterminée </w:t>
      </w:r>
    </w:p>
    <w:p w14:paraId="152D4B2C" w14:textId="77777777" w:rsidR="00955F98" w:rsidRDefault="00955F98" w:rsidP="00955F98">
      <w:pPr>
        <w:spacing w:after="38" w:line="250" w:lineRule="auto"/>
      </w:pPr>
      <w:r>
        <w:tab/>
      </w:r>
      <w:r>
        <w:rPr>
          <w:rFonts w:ascii="Arial" w:eastAsia="Arial" w:hAnsi="Arial" w:cs="Arial"/>
          <w:sz w:val="20"/>
        </w:rPr>
        <w:t>·</w:t>
      </w:r>
      <w:r>
        <w:rPr>
          <w:rFonts w:ascii="Arial" w:eastAsia="Arial" w:hAnsi="Arial" w:cs="Arial"/>
          <w:sz w:val="20"/>
        </w:rPr>
        <w:tab/>
      </w:r>
      <w:r>
        <w:rPr>
          <w:rFonts w:ascii="Arial" w:eastAsia="Arial" w:hAnsi="Arial" w:cs="Arial"/>
          <w:color w:val="FFFFFF"/>
          <w:sz w:val="20"/>
        </w:rPr>
        <w:t xml:space="preserve"> </w:t>
      </w:r>
      <w:r>
        <w:rPr>
          <w:rFonts w:ascii="Arial" w:eastAsia="Arial" w:hAnsi="Arial" w:cs="Arial"/>
          <w:sz w:val="20"/>
        </w:rPr>
        <w:t>Cutanée</w:t>
      </w:r>
    </w:p>
    <w:p w14:paraId="05A9848B" w14:textId="77777777" w:rsidR="00955F98" w:rsidRDefault="00955F98" w:rsidP="00955F98">
      <w:pPr>
        <w:spacing w:after="863" w:line="250" w:lineRule="auto"/>
        <w:ind w:left="-5" w:right="562" w:hanging="10"/>
        <w:jc w:val="both"/>
      </w:pPr>
      <w:r>
        <w:rPr>
          <w:rFonts w:ascii="Arial" w:eastAsia="Arial" w:hAnsi="Arial" w:cs="Arial"/>
          <w:sz w:val="20"/>
        </w:rPr>
        <w:t xml:space="preserve">Non déterminée </w:t>
      </w:r>
    </w:p>
    <w:p w14:paraId="232FC5E7" w14:textId="58483258" w:rsidR="004614FD" w:rsidRDefault="004614FD" w:rsidP="004614FD">
      <w:pPr>
        <w:tabs>
          <w:tab w:val="center" w:pos="4285"/>
        </w:tabs>
        <w:ind w:left="-15"/>
      </w:pPr>
      <w:r>
        <w:t xml:space="preserve"> </w:t>
      </w:r>
    </w:p>
    <w:p w14:paraId="336CE215" w14:textId="77777777" w:rsidR="008A6639" w:rsidRPr="00705E5A" w:rsidRDefault="008A6639" w:rsidP="00705E5A">
      <w:pPr>
        <w:pStyle w:val="Corpsdetexte"/>
        <w:spacing w:before="99" w:line="280" w:lineRule="auto"/>
        <w:rPr>
          <w:rFonts w:ascii="Calibri" w:eastAsia="Calibri" w:hAnsi="Calibri" w:cs="Times New Roman"/>
          <w:sz w:val="22"/>
          <w:szCs w:val="22"/>
        </w:rPr>
      </w:pPr>
    </w:p>
    <w:p w14:paraId="70A17612" w14:textId="77777777" w:rsidR="00FB4FA0" w:rsidRPr="002B6D91" w:rsidRDefault="00FB4FA0" w:rsidP="00980DBA">
      <w:pPr>
        <w:pStyle w:val="Corpsdetexte"/>
        <w:spacing w:before="6"/>
        <w:rPr>
          <w:rFonts w:ascii="Calibri" w:eastAsia="Calibri" w:hAnsi="Calibri" w:cs="Times New Roman"/>
          <w:sz w:val="22"/>
          <w:szCs w:val="22"/>
        </w:rPr>
      </w:pPr>
    </w:p>
    <w:p w14:paraId="14B4A2EE"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11.2. Effets interactifs (pour les mélanges)</w:t>
      </w:r>
    </w:p>
    <w:p w14:paraId="70DB4BA4" w14:textId="5BB70D6F" w:rsidR="00B84FFD" w:rsidRDefault="002F3EEA" w:rsidP="00B84FFD">
      <w:pPr>
        <w:spacing w:before="120" w:after="120" w:line="240" w:lineRule="auto"/>
        <w:rPr>
          <w:rFonts w:cs="Calibri"/>
          <w:sz w:val="20"/>
          <w:szCs w:val="20"/>
        </w:rPr>
      </w:pPr>
      <w:r>
        <w:t>Pas</w:t>
      </w:r>
      <w:r>
        <w:rPr>
          <w:spacing w:val="-7"/>
        </w:rPr>
        <w:t xml:space="preserve"> </w:t>
      </w:r>
      <w:r>
        <w:t>d’informations</w:t>
      </w:r>
      <w:r>
        <w:rPr>
          <w:spacing w:val="-7"/>
        </w:rPr>
        <w:t xml:space="preserve"> </w:t>
      </w:r>
      <w:r>
        <w:t>complémentaires</w:t>
      </w:r>
      <w:r>
        <w:rPr>
          <w:spacing w:val="-7"/>
        </w:rPr>
        <w:t xml:space="preserve"> </w:t>
      </w:r>
      <w:r>
        <w:t>disponibles</w:t>
      </w:r>
    </w:p>
    <w:p w14:paraId="27F1C1D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11.3. Autres informations</w:t>
      </w:r>
    </w:p>
    <w:p w14:paraId="00A671A3" w14:textId="77777777" w:rsidR="00B84FFD" w:rsidRDefault="00B84FFD" w:rsidP="00B84FFD">
      <w:pPr>
        <w:spacing w:before="120" w:after="120" w:line="240" w:lineRule="auto"/>
        <w:rPr>
          <w:rFonts w:cs="Calibri"/>
          <w:sz w:val="20"/>
          <w:szCs w:val="20"/>
        </w:rPr>
      </w:pPr>
      <w:r>
        <w:t>Pas d’informations complémentaires disponibles</w:t>
      </w:r>
    </w:p>
    <w:p w14:paraId="0C62187D"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12 : Informations écologiques</w:t>
      </w:r>
    </w:p>
    <w:p w14:paraId="2A523593"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12.1. Toxicité</w:t>
      </w:r>
    </w:p>
    <w:p w14:paraId="2097A9A9" w14:textId="38814E0F" w:rsidR="006E4BE4" w:rsidRDefault="004954E8" w:rsidP="008C3D73">
      <w:pPr>
        <w:spacing w:before="120" w:after="120" w:line="240" w:lineRule="auto"/>
      </w:pPr>
      <w:r>
        <w:rPr>
          <w:rFonts w:ascii="Arial" w:eastAsia="Arial" w:hAnsi="Arial" w:cs="Arial"/>
          <w:sz w:val="20"/>
        </w:rPr>
        <w:t>Ne pas laisser le produit, non dilué ou en grande quantité, pénétrer la nappe phréatique, les eaux superficielles ou les égouts.</w:t>
      </w:r>
    </w:p>
    <w:p w14:paraId="34AFC1F5" w14:textId="7960EDE4" w:rsidR="00BA6DE3" w:rsidRPr="00BA6DE3" w:rsidRDefault="00BA6DE3" w:rsidP="00BA6DE3">
      <w:pPr>
        <w:pStyle w:val="Corpsdetexte"/>
        <w:spacing w:line="254" w:lineRule="auto"/>
        <w:ind w:right="3546"/>
        <w:rPr>
          <w:rFonts w:ascii="Calibri" w:eastAsia="Calibri" w:hAnsi="Calibri" w:cs="Times New Roman"/>
          <w:sz w:val="22"/>
          <w:szCs w:val="22"/>
        </w:rPr>
      </w:pPr>
    </w:p>
    <w:p w14:paraId="58FF05F6"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12.2. Persistance et dégradabilité</w:t>
      </w:r>
    </w:p>
    <w:p w14:paraId="62872301" w14:textId="77777777" w:rsidR="00A33219" w:rsidRDefault="00A33219" w:rsidP="00A33219">
      <w:pPr>
        <w:pStyle w:val="Corpsdetexte"/>
        <w:spacing w:before="6"/>
        <w:rPr>
          <w:sz w:val="17"/>
        </w:rPr>
      </w:pPr>
    </w:p>
    <w:p w14:paraId="2FFF0251" w14:textId="7619B581" w:rsidR="0047634E" w:rsidRDefault="00FD3F75" w:rsidP="0047634E">
      <w:pPr>
        <w:pStyle w:val="Corpsdetexte"/>
        <w:spacing w:before="6"/>
        <w:rPr>
          <w:sz w:val="17"/>
        </w:rPr>
      </w:pPr>
      <w:r>
        <w:rPr>
          <w:rFonts w:ascii="Arial" w:eastAsia="Arial" w:hAnsi="Arial" w:cs="Arial"/>
          <w:sz w:val="20"/>
        </w:rPr>
        <w:t>Pas de données à ce jour.</w:t>
      </w:r>
    </w:p>
    <w:p w14:paraId="6E9F30F9" w14:textId="77777777" w:rsidR="0047634E" w:rsidRDefault="0047634E" w:rsidP="0047634E">
      <w:pPr>
        <w:pStyle w:val="Corpsdetexte"/>
        <w:spacing w:before="6"/>
        <w:rPr>
          <w:sz w:val="17"/>
        </w:rPr>
      </w:pPr>
    </w:p>
    <w:p w14:paraId="3E1F07B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12.3. Potentiel de bioaccumulation</w:t>
      </w:r>
    </w:p>
    <w:p w14:paraId="5FFF4D71" w14:textId="77777777" w:rsidR="00967229" w:rsidRDefault="00967229" w:rsidP="00967229">
      <w:pPr>
        <w:pStyle w:val="Corpsdetexte"/>
        <w:spacing w:before="6"/>
        <w:rPr>
          <w:sz w:val="17"/>
        </w:rPr>
      </w:pPr>
    </w:p>
    <w:p w14:paraId="28B892C1" w14:textId="3E6A9142" w:rsidR="00967229" w:rsidRPr="00FD3F75" w:rsidRDefault="00FD3F75" w:rsidP="00967229">
      <w:pPr>
        <w:pStyle w:val="Corpsdetexte"/>
        <w:spacing w:before="6"/>
        <w:rPr>
          <w:sz w:val="17"/>
        </w:rPr>
      </w:pPr>
      <w:r>
        <w:rPr>
          <w:rFonts w:ascii="Arial" w:eastAsia="Arial" w:hAnsi="Arial" w:cs="Arial"/>
          <w:sz w:val="20"/>
        </w:rPr>
        <w:t>Pas de données à ce jour.</w:t>
      </w:r>
    </w:p>
    <w:p w14:paraId="23904C67" w14:textId="77777777" w:rsidR="0022044D" w:rsidRPr="00FD3F75" w:rsidRDefault="0022044D" w:rsidP="00B84FFD">
      <w:pPr>
        <w:pBdr>
          <w:bottom w:val="single" w:sz="4" w:space="1" w:color="000000"/>
        </w:pBdr>
        <w:spacing w:before="120" w:after="120" w:line="240" w:lineRule="auto"/>
        <w:rPr>
          <w:rFonts w:cs="Calibri"/>
          <w:b/>
          <w:bCs/>
          <w:sz w:val="24"/>
          <w:szCs w:val="24"/>
        </w:rPr>
      </w:pPr>
    </w:p>
    <w:p w14:paraId="4772A59C" w14:textId="2257F64A"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12.4. Mobilité dans le sol</w:t>
      </w:r>
    </w:p>
    <w:p w14:paraId="4A572EB8" w14:textId="0A98B47B" w:rsidR="00120E8F" w:rsidRDefault="00FD3F75" w:rsidP="00B84FFD">
      <w:pPr>
        <w:spacing w:before="120" w:after="120" w:line="240" w:lineRule="auto"/>
        <w:rPr>
          <w:rFonts w:cs="Calibri"/>
          <w:sz w:val="20"/>
          <w:szCs w:val="20"/>
        </w:rPr>
      </w:pPr>
      <w:r>
        <w:rPr>
          <w:rFonts w:ascii="Arial" w:eastAsia="Arial" w:hAnsi="Arial" w:cs="Arial"/>
          <w:sz w:val="20"/>
        </w:rPr>
        <w:t>Pas de données à ce jour.</w:t>
      </w:r>
    </w:p>
    <w:p w14:paraId="66078694" w14:textId="77777777" w:rsidR="00F37BA4" w:rsidRDefault="00F37BA4" w:rsidP="00B84FFD">
      <w:pPr>
        <w:spacing w:before="120" w:after="120" w:line="240" w:lineRule="auto"/>
        <w:rPr>
          <w:rFonts w:cs="Calibri"/>
          <w:sz w:val="20"/>
          <w:szCs w:val="20"/>
        </w:rPr>
      </w:pPr>
    </w:p>
    <w:p w14:paraId="2DE2A77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12.5. Résultats des évaluations PBT et vPvB</w:t>
      </w:r>
    </w:p>
    <w:p w14:paraId="6B3F97A9" w14:textId="77777777" w:rsidR="00B84FFD" w:rsidRDefault="00B84FFD" w:rsidP="00B84FFD">
      <w:pPr>
        <w:spacing w:before="120" w:after="120" w:line="240" w:lineRule="auto"/>
        <w:rPr>
          <w:rFonts w:cs="Calibri"/>
          <w:sz w:val="20"/>
          <w:szCs w:val="20"/>
        </w:rPr>
      </w:pPr>
      <w:r>
        <w:t>Pas d’informations complémentaires disponibles</w:t>
      </w:r>
    </w:p>
    <w:p w14:paraId="01AA0BE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12.6 Autres effets néfastes</w:t>
      </w:r>
    </w:p>
    <w:p w14:paraId="73979121" w14:textId="77777777" w:rsidR="00B84FFD" w:rsidRDefault="00B84FFD" w:rsidP="00B84FFD">
      <w:pPr>
        <w:spacing w:before="120" w:after="120" w:line="240" w:lineRule="auto"/>
        <w:rPr>
          <w:rFonts w:cs="Calibri"/>
          <w:sz w:val="20"/>
          <w:szCs w:val="20"/>
        </w:rPr>
      </w:pPr>
      <w:r>
        <w:t>Pas d’informations complémentaires disponibles</w:t>
      </w:r>
    </w:p>
    <w:p w14:paraId="18A794A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12.7. Classe de pollution des eaux</w:t>
      </w:r>
    </w:p>
    <w:p w14:paraId="6FFDAA3E" w14:textId="77777777" w:rsidR="00B84FFD" w:rsidRDefault="00B84FFD" w:rsidP="00B84FFD">
      <w:pPr>
        <w:spacing w:before="120" w:after="120" w:line="240" w:lineRule="auto"/>
        <w:rPr>
          <w:rFonts w:cs="Calibri"/>
          <w:sz w:val="20"/>
          <w:szCs w:val="20"/>
        </w:rPr>
      </w:pPr>
      <w:r>
        <w:t>Pas d’informations complémentaires disponibles</w:t>
      </w:r>
    </w:p>
    <w:p w14:paraId="717910D8"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13 : Considérations relatives à l’élimination</w:t>
      </w:r>
    </w:p>
    <w:p w14:paraId="4C882647"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13.1. Méthodes de traitement des déchets</w:t>
      </w:r>
    </w:p>
    <w:p w14:paraId="1E315CB8" w14:textId="77777777" w:rsidR="00B84FFD" w:rsidRDefault="00B84FFD" w:rsidP="00B84FFD">
      <w:pPr>
        <w:spacing w:before="120" w:after="120" w:line="240" w:lineRule="auto"/>
        <w:rPr>
          <w:rFonts w:cs="Calibri"/>
          <w:sz w:val="20"/>
          <w:szCs w:val="20"/>
        </w:rPr>
      </w:pPr>
      <w:r>
        <w:t>Méthodes de traitement des déchets : Eliminer le contenu/récipient conformément aux consignes de tri du collecteur agréé.</w:t>
      </w:r>
    </w:p>
    <w:p w14:paraId="66BEBA0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14 : Informations relatives au transport</w:t>
      </w:r>
    </w:p>
    <w:p w14:paraId="3DF3D82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14.1. Numéro ONU</w:t>
      </w:r>
    </w:p>
    <w:p w14:paraId="4EB7B3FF" w14:textId="77777777" w:rsidR="00B84FFD" w:rsidRPr="00593B26" w:rsidRDefault="00B84FFD" w:rsidP="00B84FFD">
      <w:pPr>
        <w:spacing w:before="120" w:after="120" w:line="240" w:lineRule="auto"/>
        <w:rPr>
          <w:rFonts w:cs="Calibri"/>
        </w:rPr>
      </w:pPr>
      <w:r w:rsidRPr="00593B26">
        <w:rPr>
          <w:rFonts w:cs="Calibri"/>
        </w:rPr>
        <w:t>Non règlementé</w:t>
      </w:r>
    </w:p>
    <w:p w14:paraId="78810C15"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14.2. Nom d’expédition des Nations unies</w:t>
      </w:r>
    </w:p>
    <w:p w14:paraId="09B988A7" w14:textId="77777777" w:rsidR="00B84FFD" w:rsidRPr="00593B26" w:rsidRDefault="00B84FFD" w:rsidP="00B84FFD">
      <w:pPr>
        <w:spacing w:before="120" w:after="120" w:line="240" w:lineRule="auto"/>
        <w:rPr>
          <w:rFonts w:cs="Calibri"/>
        </w:rPr>
      </w:pPr>
      <w:r w:rsidRPr="00593B26">
        <w:rPr>
          <w:rFonts w:cs="Calibri"/>
        </w:rPr>
        <w:t>Non règlementé</w:t>
      </w:r>
    </w:p>
    <w:p w14:paraId="2DBC2E6F"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14.3. Classe(s) de danger pour le transport</w:t>
      </w:r>
    </w:p>
    <w:p w14:paraId="274E21E8" w14:textId="77777777" w:rsidR="00B84FFD" w:rsidRPr="00593B26" w:rsidRDefault="00B84FFD" w:rsidP="00B84FFD">
      <w:pPr>
        <w:spacing w:before="120" w:after="120" w:line="240" w:lineRule="auto"/>
        <w:rPr>
          <w:rFonts w:cs="Calibri"/>
        </w:rPr>
      </w:pPr>
      <w:r w:rsidRPr="00593B26">
        <w:rPr>
          <w:rFonts w:cs="Calibri"/>
        </w:rPr>
        <w:t>Non règlementé</w:t>
      </w:r>
    </w:p>
    <w:p w14:paraId="7B7782FD"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14.4. Groupe d’emballage</w:t>
      </w:r>
    </w:p>
    <w:p w14:paraId="32E92F94" w14:textId="77777777" w:rsidR="00B84FFD" w:rsidRPr="00593B26" w:rsidRDefault="00B84FFD" w:rsidP="00B84FFD">
      <w:pPr>
        <w:spacing w:before="120" w:after="120" w:line="240" w:lineRule="auto"/>
        <w:rPr>
          <w:rFonts w:cs="Calibri"/>
        </w:rPr>
      </w:pPr>
      <w:r w:rsidRPr="00593B26">
        <w:rPr>
          <w:rFonts w:cs="Calibri"/>
        </w:rPr>
        <w:t>Non règlementé</w:t>
      </w:r>
    </w:p>
    <w:p w14:paraId="36D30A6C"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14.5. Dangers pour l’environnement</w:t>
      </w:r>
    </w:p>
    <w:p w14:paraId="594399EA" w14:textId="77777777" w:rsidR="00B84FFD" w:rsidRPr="00593B26" w:rsidRDefault="00B84FFD" w:rsidP="00B84FFD">
      <w:pPr>
        <w:spacing w:before="120" w:after="120" w:line="240" w:lineRule="auto"/>
        <w:rPr>
          <w:rFonts w:cs="Calibri"/>
        </w:rPr>
      </w:pPr>
      <w:r w:rsidRPr="00593B26">
        <w:rPr>
          <w:rFonts w:cs="Calibri"/>
        </w:rPr>
        <w:t>Non règlementé</w:t>
      </w:r>
    </w:p>
    <w:p w14:paraId="11748731"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lastRenderedPageBreak/>
        <w:t>14.6. Précautions particulières à prendre par l’utilisateur</w:t>
      </w:r>
    </w:p>
    <w:p w14:paraId="3E732CD5" w14:textId="77777777" w:rsidR="00B84FFD" w:rsidRPr="00593B26" w:rsidRDefault="00B84FFD" w:rsidP="00B84FFD">
      <w:pPr>
        <w:spacing w:before="120" w:after="120" w:line="240" w:lineRule="auto"/>
        <w:rPr>
          <w:rFonts w:cs="Calibri"/>
        </w:rPr>
      </w:pPr>
      <w:r w:rsidRPr="00593B26">
        <w:rPr>
          <w:rFonts w:cs="Calibri"/>
        </w:rPr>
        <w:t>Non règlementé</w:t>
      </w:r>
    </w:p>
    <w:p w14:paraId="638BAC89"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14.7. Transport en vrac conformément à l’annexe II de la convention MARPOL 73/78 et au recueil IBC</w:t>
      </w:r>
    </w:p>
    <w:p w14:paraId="0066F6B7" w14:textId="77777777" w:rsidR="00B84FFD" w:rsidRPr="00593B26" w:rsidRDefault="00B84FFD" w:rsidP="00B84FFD">
      <w:pPr>
        <w:spacing w:before="120" w:after="120" w:line="240" w:lineRule="auto"/>
        <w:rPr>
          <w:rFonts w:cs="Calibri"/>
        </w:rPr>
      </w:pPr>
      <w:r w:rsidRPr="00593B26">
        <w:rPr>
          <w:rFonts w:cs="Calibri"/>
        </w:rPr>
        <w:t>Non règlementé</w:t>
      </w:r>
    </w:p>
    <w:p w14:paraId="09137006"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15 : Informations réglementaires</w:t>
      </w:r>
    </w:p>
    <w:p w14:paraId="49BD49BB"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15.1. Réglementations/Législation particulières à la substance ou au mélange en matière de sécurité, de santé et d’environnement</w:t>
      </w:r>
    </w:p>
    <w:p w14:paraId="7DC271F2" w14:textId="77777777" w:rsidR="00B84FFD" w:rsidRDefault="00B84FFD" w:rsidP="00B84FFD">
      <w:pPr>
        <w:spacing w:before="120" w:after="120" w:line="240" w:lineRule="auto"/>
      </w:pPr>
      <w:r>
        <w:t xml:space="preserve">Annexe XVII de REACH (Liste de restriction) </w:t>
      </w:r>
    </w:p>
    <w:p w14:paraId="279A5ED4" w14:textId="77777777" w:rsidR="00B84FFD" w:rsidRDefault="00B84FFD" w:rsidP="00B84FFD">
      <w:pPr>
        <w:spacing w:before="120" w:after="120" w:line="240" w:lineRule="auto"/>
      </w:pPr>
      <w:r>
        <w:t xml:space="preserve">Ne contient pas de substance(s) listée(s) dans l’Annexe XVII de REACH (Conditions de restriction) </w:t>
      </w:r>
    </w:p>
    <w:p w14:paraId="6834C60D" w14:textId="77777777" w:rsidR="00B84FFD" w:rsidRDefault="00B84FFD" w:rsidP="00B84FFD">
      <w:pPr>
        <w:spacing w:before="120" w:after="120" w:line="240" w:lineRule="auto"/>
      </w:pPr>
      <w:r>
        <w:t xml:space="preserve">Annexe XIV de REACH (Liste d’autorisation) </w:t>
      </w:r>
    </w:p>
    <w:p w14:paraId="4B9ED529" w14:textId="77777777" w:rsidR="00B84FFD" w:rsidRDefault="00B84FFD" w:rsidP="00B84FFD">
      <w:pPr>
        <w:spacing w:before="120" w:after="120" w:line="240" w:lineRule="auto"/>
      </w:pPr>
      <w:r>
        <w:t xml:space="preserve">Ne contient pas de substance(s) listée(s) dans l’annexe XIV de REACH (Liste d’autorisation) </w:t>
      </w:r>
    </w:p>
    <w:p w14:paraId="27646A13" w14:textId="77777777" w:rsidR="00B84FFD" w:rsidRDefault="00B84FFD" w:rsidP="00B84FFD">
      <w:pPr>
        <w:spacing w:before="120" w:after="120" w:line="240" w:lineRule="auto"/>
      </w:pPr>
      <w:r>
        <w:t xml:space="preserve">Liste candidate REACH (SVHC) </w:t>
      </w:r>
    </w:p>
    <w:p w14:paraId="52462F1F" w14:textId="77777777" w:rsidR="00B84FFD" w:rsidRDefault="00B84FFD" w:rsidP="00B84FFD">
      <w:pPr>
        <w:spacing w:before="120" w:after="120" w:line="240" w:lineRule="auto"/>
      </w:pPr>
      <w:r>
        <w:t xml:space="preserve">Ne contient pas de substance(s) listée(s) dans la liste des substances candidates de REACH </w:t>
      </w:r>
    </w:p>
    <w:p w14:paraId="698A9864" w14:textId="77777777" w:rsidR="00B84FFD" w:rsidRDefault="00B84FFD" w:rsidP="00B84FFD">
      <w:pPr>
        <w:spacing w:before="120" w:after="120" w:line="240" w:lineRule="auto"/>
      </w:pPr>
      <w:r>
        <w:t xml:space="preserve">Règlement PIC (UE 649/2012, consentement préalable en connaissance de cause) </w:t>
      </w:r>
    </w:p>
    <w:p w14:paraId="05053642" w14:textId="77777777" w:rsidR="00B84FFD" w:rsidRDefault="00B84FFD" w:rsidP="00B84FFD">
      <w:pPr>
        <w:spacing w:before="120" w:after="120" w:line="240" w:lineRule="auto"/>
      </w:pPr>
      <w:r>
        <w:t xml:space="preserve">Ne contient pas de substance(s) listée(s) dans la liste PIC (Règlement UE 649/2012 concernant les exportations et importations de produits chimiques dangereux) </w:t>
      </w:r>
    </w:p>
    <w:p w14:paraId="33FF341B" w14:textId="77777777" w:rsidR="00B84FFD" w:rsidRDefault="00B84FFD" w:rsidP="00B84FFD">
      <w:pPr>
        <w:spacing w:before="120" w:after="120" w:line="240" w:lineRule="auto"/>
      </w:pPr>
      <w:r>
        <w:t xml:space="preserve">Règlement POP (UE 2019/1021, polluants organiques persistants) </w:t>
      </w:r>
    </w:p>
    <w:p w14:paraId="607EB724" w14:textId="77777777" w:rsidR="00B84FFD" w:rsidRDefault="00B84FFD" w:rsidP="00B84FFD">
      <w:pPr>
        <w:spacing w:before="120" w:after="120" w:line="240" w:lineRule="auto"/>
      </w:pPr>
      <w:r>
        <w:t xml:space="preserve">Ne contient pas de substance(s) listée(s) dans la liste des POP (règlement UE 2019/1021 sur les polluants organiques persistants) </w:t>
      </w:r>
    </w:p>
    <w:p w14:paraId="7844B6EB" w14:textId="77777777" w:rsidR="00B84FFD" w:rsidRDefault="00B84FFD" w:rsidP="00B84FFD">
      <w:pPr>
        <w:spacing w:before="120" w:after="120" w:line="240" w:lineRule="auto"/>
      </w:pPr>
      <w:r>
        <w:t xml:space="preserve">Règlement sur l’appauvrissement de la couche d’ozone (UE 1005/2009) </w:t>
      </w:r>
    </w:p>
    <w:p w14:paraId="7F2A4336" w14:textId="77777777" w:rsidR="00B84FFD" w:rsidRDefault="00B84FFD" w:rsidP="00B84FFD">
      <w:pPr>
        <w:spacing w:before="120" w:after="120" w:line="240" w:lineRule="auto"/>
      </w:pPr>
      <w:r>
        <w:t xml:space="preserve">Ne contient aucune substance listée dans la liste des substances appauvrissant la couche d’ozone (Règlement (CE) n° 1005/2009 relatif à des substances appauvrissant la couche d’ozone) </w:t>
      </w:r>
    </w:p>
    <w:p w14:paraId="136179E9" w14:textId="77777777" w:rsidR="00B84FFD" w:rsidRDefault="00B84FFD" w:rsidP="00B84FFD">
      <w:pPr>
        <w:spacing w:before="120" w:after="120" w:line="240" w:lineRule="auto"/>
      </w:pPr>
      <w:r>
        <w:t xml:space="preserve">Règlement sur les précurseurs d’explosifs (UE 2019/1148) </w:t>
      </w:r>
    </w:p>
    <w:p w14:paraId="1D8EACE6" w14:textId="77777777" w:rsidR="00B84FFD" w:rsidRDefault="00B84FFD" w:rsidP="00B84FFD">
      <w:pPr>
        <w:spacing w:before="120" w:after="120" w:line="240" w:lineRule="auto"/>
      </w:pPr>
      <w:r>
        <w:t xml:space="preserve">Ne contient pas de substance(s) listée(s) dans la liste des précurseurs d’explosifs (Règlement UE 2019/1148 relatif à la commercialisation et à l’utilisation des précurseurs d’explosifs) </w:t>
      </w:r>
    </w:p>
    <w:p w14:paraId="058BB173" w14:textId="77777777" w:rsidR="00B84FFD" w:rsidRDefault="00B84FFD" w:rsidP="00B84FFD">
      <w:pPr>
        <w:spacing w:before="120" w:after="120" w:line="240" w:lineRule="auto"/>
      </w:pPr>
      <w:r>
        <w:t xml:space="preserve">Règlement sur les précurseurs de drogues (CE 273/2004) </w:t>
      </w:r>
    </w:p>
    <w:p w14:paraId="5B233D9A" w14:textId="77777777" w:rsidR="00B84FFD" w:rsidRDefault="00B84FFD" w:rsidP="00B84FFD">
      <w:pPr>
        <w:spacing w:before="120" w:after="120" w:line="240" w:lineRule="auto"/>
        <w:rPr>
          <w:rFonts w:cs="Calibri"/>
          <w:sz w:val="20"/>
          <w:szCs w:val="20"/>
        </w:rPr>
      </w:pPr>
      <w: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14:paraId="71FF18F4" w14:textId="77777777" w:rsidR="00B84FFD" w:rsidRDefault="00B84FFD" w:rsidP="00B84FFD">
      <w:pPr>
        <w:pBdr>
          <w:bottom w:val="single" w:sz="4" w:space="1" w:color="000000"/>
        </w:pBdr>
        <w:spacing w:before="120" w:after="120" w:line="240" w:lineRule="auto"/>
        <w:rPr>
          <w:rFonts w:cs="Calibri"/>
          <w:b/>
          <w:bCs/>
          <w:sz w:val="24"/>
          <w:szCs w:val="24"/>
        </w:rPr>
      </w:pPr>
      <w:r>
        <w:rPr>
          <w:rFonts w:cs="Calibri"/>
          <w:b/>
          <w:bCs/>
          <w:sz w:val="24"/>
          <w:szCs w:val="24"/>
        </w:rPr>
        <w:t>15.2. Évaluation de la sécurité chimique</w:t>
      </w:r>
    </w:p>
    <w:p w14:paraId="626D4AF0" w14:textId="77777777" w:rsidR="00B84FFD" w:rsidRDefault="00B84FFD" w:rsidP="00B84FFD">
      <w:pPr>
        <w:spacing w:before="120" w:after="120" w:line="240" w:lineRule="auto"/>
        <w:rPr>
          <w:rFonts w:cs="Calibri"/>
          <w:sz w:val="20"/>
          <w:szCs w:val="20"/>
        </w:rPr>
      </w:pPr>
      <w:r>
        <w:t>Pas d’informations complémentaires disponibles</w:t>
      </w:r>
    </w:p>
    <w:p w14:paraId="15E0D499" w14:textId="77777777" w:rsidR="00B84FFD" w:rsidRDefault="00B84FFD" w:rsidP="00B84FFD">
      <w:pPr>
        <w:shd w:val="clear" w:color="auto" w:fill="8EAADB" w:themeFill="accent1" w:themeFillTint="99"/>
        <w:spacing w:before="120" w:after="120" w:line="240" w:lineRule="auto"/>
        <w:rPr>
          <w:rFonts w:cs="Calibri"/>
          <w:sz w:val="28"/>
          <w:szCs w:val="28"/>
        </w:rPr>
      </w:pPr>
      <w:r>
        <w:rPr>
          <w:rFonts w:cs="Calibri"/>
          <w:sz w:val="28"/>
          <w:szCs w:val="28"/>
        </w:rPr>
        <w:t>RUBRIQUE 16 : Autres informations</w:t>
      </w:r>
    </w:p>
    <w:p w14:paraId="6D48AB46" w14:textId="77777777" w:rsidR="00B84FFD" w:rsidRDefault="00B84FFD" w:rsidP="00B84FFD">
      <w:pPr>
        <w:spacing w:before="120" w:after="120" w:line="240" w:lineRule="auto"/>
        <w:rPr>
          <w:rFonts w:cs="Calibri"/>
          <w:sz w:val="24"/>
          <w:szCs w:val="24"/>
        </w:rPr>
      </w:pPr>
    </w:p>
    <w:p w14:paraId="17DF9764" w14:textId="77777777" w:rsidR="00B84FFD" w:rsidRPr="00A75BAB" w:rsidRDefault="00B84FFD" w:rsidP="00B84FFD">
      <w:pPr>
        <w:pStyle w:val="Paragraphedeliste"/>
        <w:numPr>
          <w:ilvl w:val="0"/>
          <w:numId w:val="2"/>
        </w:numPr>
        <w:spacing w:before="120" w:after="120" w:line="240" w:lineRule="auto"/>
        <w:rPr>
          <w:rFonts w:cs="Calibri"/>
        </w:rPr>
      </w:pPr>
      <w:r w:rsidRPr="00A75BAB">
        <w:rPr>
          <w:rFonts w:cs="Calibri"/>
        </w:rPr>
        <w:t>Classement du mélange selon CLP déterminé en fonction des données relatives aux composants du mélange.</w:t>
      </w:r>
    </w:p>
    <w:p w14:paraId="7FC77C61" w14:textId="77777777" w:rsidR="00FE2DB9" w:rsidRPr="00FE2DB9" w:rsidRDefault="00FE2DB9" w:rsidP="00B84FFD">
      <w:pPr>
        <w:pStyle w:val="Paragraphedeliste"/>
        <w:numPr>
          <w:ilvl w:val="0"/>
          <w:numId w:val="2"/>
        </w:numPr>
        <w:spacing w:before="120" w:after="120" w:line="240" w:lineRule="auto"/>
        <w:rPr>
          <w:rFonts w:cs="Calibri"/>
        </w:rPr>
      </w:pPr>
      <w:r w:rsidRPr="00FE2DB9">
        <w:rPr>
          <w:rFonts w:cs="Calibri"/>
        </w:rPr>
        <w:t>En raison de sa forme solide, de son insolubilité et de sa faible dégradabilité, le produit ne présente aucun risque d'écoulement accidentel ou d'ingestion</w:t>
      </w:r>
      <w:r>
        <w:rPr>
          <w:rFonts w:ascii="Segoe UI" w:hAnsi="Segoe UI" w:cs="Segoe UI"/>
          <w:color w:val="374151"/>
          <w:shd w:val="clear" w:color="auto" w:fill="F7F7F8"/>
        </w:rPr>
        <w:t>.</w:t>
      </w:r>
    </w:p>
    <w:sectPr w:rsidR="00FE2DB9" w:rsidRPr="00FE2DB9" w:rsidSect="00AA4112">
      <w:headerReference w:type="default" r:id="rId10"/>
      <w:footerReference w:type="default" r:id="rId11"/>
      <w:pgSz w:w="11906" w:h="16838"/>
      <w:pgMar w:top="720" w:right="720" w:bottom="720" w:left="709"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89EC2" w14:textId="77777777" w:rsidR="00AA4112" w:rsidRDefault="00AA4112">
      <w:pPr>
        <w:spacing w:after="0" w:line="240" w:lineRule="auto"/>
      </w:pPr>
      <w:r>
        <w:separator/>
      </w:r>
    </w:p>
  </w:endnote>
  <w:endnote w:type="continuationSeparator" w:id="0">
    <w:p w14:paraId="4B6CDF2C" w14:textId="77777777" w:rsidR="00AA4112" w:rsidRDefault="00AA4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97C3D" w14:textId="77777777" w:rsidR="008D08AA" w:rsidRDefault="00B84FFD">
    <w:pPr>
      <w:pStyle w:val="Pieddepage"/>
      <w:jc w:val="right"/>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r>
      <w:rPr>
        <w:rFonts w:ascii="Arial" w:hAnsi="Arial" w:cs="Arial"/>
        <w:sz w:val="16"/>
        <w:szCs w:val="16"/>
      </w:rPr>
      <w:t xml:space="preserve"> sur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2</w:t>
    </w:r>
    <w:r>
      <w:rPr>
        <w:rFonts w:ascii="Arial" w:hAnsi="Arial" w:cs="Arial"/>
        <w:b/>
        <w:bCs/>
        <w:sz w:val="16"/>
        <w:szCs w:val="16"/>
      </w:rPr>
      <w:fldChar w:fldCharType="end"/>
    </w:r>
  </w:p>
  <w:p w14:paraId="609649A7" w14:textId="77777777" w:rsidR="00C62C76" w:rsidRDefault="00C62C76"/>
  <w:p w14:paraId="7873AA65" w14:textId="77777777" w:rsidR="00F27584" w:rsidRDefault="00F27584"/>
  <w:p w14:paraId="02799DB9" w14:textId="77777777" w:rsidR="00F27584" w:rsidRDefault="00F275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28498" w14:textId="77777777" w:rsidR="00AA4112" w:rsidRDefault="00AA4112">
      <w:pPr>
        <w:spacing w:after="0" w:line="240" w:lineRule="auto"/>
      </w:pPr>
      <w:r>
        <w:separator/>
      </w:r>
    </w:p>
  </w:footnote>
  <w:footnote w:type="continuationSeparator" w:id="0">
    <w:p w14:paraId="115267DF" w14:textId="77777777" w:rsidR="00AA4112" w:rsidRDefault="00AA41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85676" w14:textId="77777777" w:rsidR="008D08AA" w:rsidRPr="007920EB" w:rsidRDefault="00B84FFD" w:rsidP="004F19B0">
    <w:pPr>
      <w:shd w:val="clear" w:color="auto" w:fill="2F5496" w:themeFill="accent1" w:themeFillShade="BF"/>
      <w:spacing w:line="245" w:lineRule="auto"/>
      <w:jc w:val="center"/>
      <w:rPr>
        <w:b/>
        <w:bCs/>
        <w:color w:val="FFFFFF"/>
        <w:sz w:val="36"/>
        <w:szCs w:val="36"/>
      </w:rPr>
    </w:pPr>
    <w:r w:rsidRPr="007920EB">
      <w:rPr>
        <w:b/>
        <w:bCs/>
        <w:color w:val="FFFFFF"/>
        <w:sz w:val="36"/>
        <w:szCs w:val="36"/>
      </w:rPr>
      <w:t>FICHE DE DONNEES DE SECURITE</w:t>
    </w:r>
  </w:p>
  <w:p w14:paraId="5E79C954" w14:textId="75F9CB82" w:rsidR="008D08AA" w:rsidRDefault="00B84FFD">
    <w:pPr>
      <w:jc w:val="center"/>
      <w:rPr>
        <w:sz w:val="18"/>
        <w:szCs w:val="18"/>
      </w:rPr>
    </w:pPr>
    <w:r>
      <w:rPr>
        <w:sz w:val="18"/>
        <w:szCs w:val="18"/>
      </w:rPr>
      <w:t>Conformément au Règlement REACH (CE) No. 1907/2006 et à son annexe II Règlement (CE) No. 2020/878</w:t>
    </w:r>
    <w:r>
      <w:rPr>
        <w:sz w:val="18"/>
        <w:szCs w:val="18"/>
      </w:rPr>
      <w:br/>
      <w:t xml:space="preserve">Date d’émission : </w:t>
    </w:r>
    <w:r w:rsidR="00317940">
      <w:rPr>
        <w:sz w:val="18"/>
        <w:szCs w:val="18"/>
      </w:rPr>
      <w:t>30</w:t>
    </w:r>
    <w:r w:rsidR="00BC7022">
      <w:rPr>
        <w:sz w:val="18"/>
        <w:szCs w:val="18"/>
      </w:rPr>
      <w:t>/04</w:t>
    </w:r>
    <w:r w:rsidR="00FB7DF1">
      <w:rPr>
        <w:sz w:val="18"/>
        <w:szCs w:val="18"/>
      </w:rPr>
      <w:t>/2024</w:t>
    </w:r>
    <w:r>
      <w:rPr>
        <w:sz w:val="18"/>
        <w:szCs w:val="18"/>
      </w:rPr>
      <w:t xml:space="preserve"> Date de révision : </w:t>
    </w:r>
    <w:r w:rsidR="00317940">
      <w:rPr>
        <w:sz w:val="18"/>
        <w:szCs w:val="18"/>
      </w:rPr>
      <w:t>30</w:t>
    </w:r>
    <w:r w:rsidR="00BC7022">
      <w:rPr>
        <w:sz w:val="18"/>
        <w:szCs w:val="18"/>
      </w:rPr>
      <w:t>/04</w:t>
    </w:r>
    <w:r w:rsidR="00FB7DF1">
      <w:rPr>
        <w:sz w:val="18"/>
        <w:szCs w:val="18"/>
      </w:rPr>
      <w:t>/2024</w:t>
    </w:r>
    <w:r>
      <w:rPr>
        <w:sz w:val="18"/>
        <w:szCs w:val="18"/>
      </w:rPr>
      <w:t xml:space="preserve"> Version : 1.0</w:t>
    </w:r>
  </w:p>
  <w:p w14:paraId="602D1847" w14:textId="5C6C6A01" w:rsidR="00F27584" w:rsidRPr="0002782B" w:rsidRDefault="00E03647" w:rsidP="0002782B">
    <w:pPr>
      <w:jc w:val="center"/>
      <w:rPr>
        <w:b/>
        <w:bCs/>
        <w:sz w:val="32"/>
        <w:szCs w:val="32"/>
      </w:rPr>
    </w:pPr>
    <w:r>
      <w:rPr>
        <w:b/>
        <w:bCs/>
        <w:sz w:val="32"/>
        <w:szCs w:val="32"/>
      </w:rPr>
      <w:t>COULIS EXOTIQUE</w:t>
    </w:r>
    <w:r w:rsidR="00842C6E">
      <w:rPr>
        <w:b/>
        <w:bCs/>
        <w:sz w:val="32"/>
        <w:szCs w:val="32"/>
      </w:rPr>
      <w:t xml:space="preserve"> </w:t>
    </w:r>
    <w:r w:rsidR="00B45857">
      <w:rPr>
        <w:b/>
        <w:bCs/>
        <w:sz w:val="32"/>
        <w:szCs w:val="32"/>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7A4072"/>
    <w:multiLevelType w:val="hybridMultilevel"/>
    <w:tmpl w:val="455AFF5C"/>
    <w:lvl w:ilvl="0" w:tplc="90A6DD10">
      <w:start w:val="1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59D1E07"/>
    <w:multiLevelType w:val="multilevel"/>
    <w:tmpl w:val="48A2F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532223">
    <w:abstractNumId w:val="1"/>
  </w:num>
  <w:num w:numId="2" w16cid:durableId="1661544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7B0"/>
    <w:rsid w:val="0000088B"/>
    <w:rsid w:val="0000203A"/>
    <w:rsid w:val="00003896"/>
    <w:rsid w:val="00004447"/>
    <w:rsid w:val="00007FF0"/>
    <w:rsid w:val="00010431"/>
    <w:rsid w:val="00010C9D"/>
    <w:rsid w:val="00015D4D"/>
    <w:rsid w:val="00021885"/>
    <w:rsid w:val="0002615E"/>
    <w:rsid w:val="000267FC"/>
    <w:rsid w:val="0002782B"/>
    <w:rsid w:val="00031494"/>
    <w:rsid w:val="000325BE"/>
    <w:rsid w:val="00040292"/>
    <w:rsid w:val="00054517"/>
    <w:rsid w:val="00055D55"/>
    <w:rsid w:val="000563A0"/>
    <w:rsid w:val="00057EA2"/>
    <w:rsid w:val="000643EE"/>
    <w:rsid w:val="0007352A"/>
    <w:rsid w:val="000846C4"/>
    <w:rsid w:val="00092F69"/>
    <w:rsid w:val="0009362C"/>
    <w:rsid w:val="00096723"/>
    <w:rsid w:val="000A0689"/>
    <w:rsid w:val="000A207C"/>
    <w:rsid w:val="000B0730"/>
    <w:rsid w:val="000B07A2"/>
    <w:rsid w:val="000B7262"/>
    <w:rsid w:val="000B7409"/>
    <w:rsid w:val="000B7FF3"/>
    <w:rsid w:val="000C012F"/>
    <w:rsid w:val="000C307E"/>
    <w:rsid w:val="000D76E8"/>
    <w:rsid w:val="000E5675"/>
    <w:rsid w:val="000E7AD2"/>
    <w:rsid w:val="000F09C3"/>
    <w:rsid w:val="000F1129"/>
    <w:rsid w:val="000F12C1"/>
    <w:rsid w:val="000F2394"/>
    <w:rsid w:val="000F5AF8"/>
    <w:rsid w:val="00103CB8"/>
    <w:rsid w:val="00105CCC"/>
    <w:rsid w:val="001124DF"/>
    <w:rsid w:val="00112F1D"/>
    <w:rsid w:val="00116085"/>
    <w:rsid w:val="001171E3"/>
    <w:rsid w:val="001177C5"/>
    <w:rsid w:val="0012078D"/>
    <w:rsid w:val="00120E8F"/>
    <w:rsid w:val="00141992"/>
    <w:rsid w:val="00143945"/>
    <w:rsid w:val="001447B7"/>
    <w:rsid w:val="00144B0B"/>
    <w:rsid w:val="00145064"/>
    <w:rsid w:val="001479A4"/>
    <w:rsid w:val="00161A24"/>
    <w:rsid w:val="00167AB5"/>
    <w:rsid w:val="00180BBD"/>
    <w:rsid w:val="001830DE"/>
    <w:rsid w:val="0019048A"/>
    <w:rsid w:val="001908BD"/>
    <w:rsid w:val="00192214"/>
    <w:rsid w:val="00192FD0"/>
    <w:rsid w:val="00194C08"/>
    <w:rsid w:val="001953C8"/>
    <w:rsid w:val="00195713"/>
    <w:rsid w:val="001A7607"/>
    <w:rsid w:val="001B0890"/>
    <w:rsid w:val="001B1E64"/>
    <w:rsid w:val="001C2D46"/>
    <w:rsid w:val="001C368A"/>
    <w:rsid w:val="001C7F17"/>
    <w:rsid w:val="001D197A"/>
    <w:rsid w:val="001D43F1"/>
    <w:rsid w:val="001D5AFF"/>
    <w:rsid w:val="001D6889"/>
    <w:rsid w:val="001E428B"/>
    <w:rsid w:val="001F0956"/>
    <w:rsid w:val="001F2B86"/>
    <w:rsid w:val="001F2E0B"/>
    <w:rsid w:val="001F5D75"/>
    <w:rsid w:val="001F699D"/>
    <w:rsid w:val="00206A53"/>
    <w:rsid w:val="002076E6"/>
    <w:rsid w:val="002079E2"/>
    <w:rsid w:val="00211FF6"/>
    <w:rsid w:val="0022015A"/>
    <w:rsid w:val="0022044D"/>
    <w:rsid w:val="00221EAB"/>
    <w:rsid w:val="00225DFF"/>
    <w:rsid w:val="00226EDD"/>
    <w:rsid w:val="002318ED"/>
    <w:rsid w:val="00236021"/>
    <w:rsid w:val="00236455"/>
    <w:rsid w:val="00243BE9"/>
    <w:rsid w:val="00244D5A"/>
    <w:rsid w:val="00245443"/>
    <w:rsid w:val="00246B9F"/>
    <w:rsid w:val="0025175D"/>
    <w:rsid w:val="00264543"/>
    <w:rsid w:val="00265B98"/>
    <w:rsid w:val="002721FD"/>
    <w:rsid w:val="00275558"/>
    <w:rsid w:val="002755C5"/>
    <w:rsid w:val="00277D6F"/>
    <w:rsid w:val="002812E1"/>
    <w:rsid w:val="002848D2"/>
    <w:rsid w:val="002852C0"/>
    <w:rsid w:val="00285C7D"/>
    <w:rsid w:val="00291CEF"/>
    <w:rsid w:val="002947C0"/>
    <w:rsid w:val="002967E6"/>
    <w:rsid w:val="002A0F7F"/>
    <w:rsid w:val="002A4D25"/>
    <w:rsid w:val="002A548A"/>
    <w:rsid w:val="002B1F82"/>
    <w:rsid w:val="002B2459"/>
    <w:rsid w:val="002B5ED6"/>
    <w:rsid w:val="002B6D91"/>
    <w:rsid w:val="002C11BB"/>
    <w:rsid w:val="002D0C54"/>
    <w:rsid w:val="002D7A64"/>
    <w:rsid w:val="002E2971"/>
    <w:rsid w:val="002F2C74"/>
    <w:rsid w:val="002F3EEA"/>
    <w:rsid w:val="002F50BA"/>
    <w:rsid w:val="002F7376"/>
    <w:rsid w:val="003023D3"/>
    <w:rsid w:val="00303EBF"/>
    <w:rsid w:val="0030495A"/>
    <w:rsid w:val="003130D3"/>
    <w:rsid w:val="00313A00"/>
    <w:rsid w:val="00317940"/>
    <w:rsid w:val="0032026B"/>
    <w:rsid w:val="00320473"/>
    <w:rsid w:val="00326940"/>
    <w:rsid w:val="00336648"/>
    <w:rsid w:val="00337080"/>
    <w:rsid w:val="003415A6"/>
    <w:rsid w:val="003460A5"/>
    <w:rsid w:val="00351C69"/>
    <w:rsid w:val="0035265A"/>
    <w:rsid w:val="003545BB"/>
    <w:rsid w:val="00354BE3"/>
    <w:rsid w:val="003564CE"/>
    <w:rsid w:val="0036037E"/>
    <w:rsid w:val="003626F6"/>
    <w:rsid w:val="003641A3"/>
    <w:rsid w:val="00364E68"/>
    <w:rsid w:val="00366414"/>
    <w:rsid w:val="00380926"/>
    <w:rsid w:val="00381949"/>
    <w:rsid w:val="00392498"/>
    <w:rsid w:val="003953C3"/>
    <w:rsid w:val="00397135"/>
    <w:rsid w:val="003A0B67"/>
    <w:rsid w:val="003A7B8D"/>
    <w:rsid w:val="003B0F60"/>
    <w:rsid w:val="003B54D7"/>
    <w:rsid w:val="003B56FC"/>
    <w:rsid w:val="003C261F"/>
    <w:rsid w:val="003C28D3"/>
    <w:rsid w:val="003D0C90"/>
    <w:rsid w:val="003D249B"/>
    <w:rsid w:val="003D7829"/>
    <w:rsid w:val="003E0AB7"/>
    <w:rsid w:val="003E1BFA"/>
    <w:rsid w:val="003E4706"/>
    <w:rsid w:val="003F7E30"/>
    <w:rsid w:val="00406365"/>
    <w:rsid w:val="004124EC"/>
    <w:rsid w:val="00414194"/>
    <w:rsid w:val="00415DDE"/>
    <w:rsid w:val="004165D8"/>
    <w:rsid w:val="004168E2"/>
    <w:rsid w:val="00420004"/>
    <w:rsid w:val="004300B5"/>
    <w:rsid w:val="00432376"/>
    <w:rsid w:val="00436F5E"/>
    <w:rsid w:val="00441A6B"/>
    <w:rsid w:val="00442767"/>
    <w:rsid w:val="004432AE"/>
    <w:rsid w:val="00443B50"/>
    <w:rsid w:val="00446BCF"/>
    <w:rsid w:val="00447FAE"/>
    <w:rsid w:val="00450133"/>
    <w:rsid w:val="00452D0C"/>
    <w:rsid w:val="00453860"/>
    <w:rsid w:val="004558C8"/>
    <w:rsid w:val="004614FD"/>
    <w:rsid w:val="004665D1"/>
    <w:rsid w:val="00473B1D"/>
    <w:rsid w:val="00474B4A"/>
    <w:rsid w:val="00475B2F"/>
    <w:rsid w:val="0047634E"/>
    <w:rsid w:val="00482F68"/>
    <w:rsid w:val="004831DA"/>
    <w:rsid w:val="004954E8"/>
    <w:rsid w:val="004A0024"/>
    <w:rsid w:val="004A0789"/>
    <w:rsid w:val="004A23FB"/>
    <w:rsid w:val="004A5679"/>
    <w:rsid w:val="004A67A3"/>
    <w:rsid w:val="004B3B77"/>
    <w:rsid w:val="004B4971"/>
    <w:rsid w:val="004B4D2F"/>
    <w:rsid w:val="004C0393"/>
    <w:rsid w:val="004C1A04"/>
    <w:rsid w:val="004D2A33"/>
    <w:rsid w:val="004D5415"/>
    <w:rsid w:val="004E15C5"/>
    <w:rsid w:val="004F2B67"/>
    <w:rsid w:val="004F3675"/>
    <w:rsid w:val="004F5837"/>
    <w:rsid w:val="004F724F"/>
    <w:rsid w:val="004F7F05"/>
    <w:rsid w:val="00512042"/>
    <w:rsid w:val="005165EC"/>
    <w:rsid w:val="0052181C"/>
    <w:rsid w:val="005231A3"/>
    <w:rsid w:val="005252C2"/>
    <w:rsid w:val="00525D6E"/>
    <w:rsid w:val="00526829"/>
    <w:rsid w:val="00526DEC"/>
    <w:rsid w:val="00527E22"/>
    <w:rsid w:val="00533C11"/>
    <w:rsid w:val="00541CB8"/>
    <w:rsid w:val="005443A5"/>
    <w:rsid w:val="00544CDD"/>
    <w:rsid w:val="00545C98"/>
    <w:rsid w:val="0055195E"/>
    <w:rsid w:val="005520C5"/>
    <w:rsid w:val="00553811"/>
    <w:rsid w:val="00563E9C"/>
    <w:rsid w:val="0056759A"/>
    <w:rsid w:val="00567FD7"/>
    <w:rsid w:val="0058532E"/>
    <w:rsid w:val="00594E04"/>
    <w:rsid w:val="005A0B23"/>
    <w:rsid w:val="005A259B"/>
    <w:rsid w:val="005A4F9C"/>
    <w:rsid w:val="005A509F"/>
    <w:rsid w:val="005A5FE5"/>
    <w:rsid w:val="005A6D83"/>
    <w:rsid w:val="005A72F1"/>
    <w:rsid w:val="005B0911"/>
    <w:rsid w:val="005B46F6"/>
    <w:rsid w:val="005B6E55"/>
    <w:rsid w:val="005C041A"/>
    <w:rsid w:val="005C0F0A"/>
    <w:rsid w:val="005C385C"/>
    <w:rsid w:val="005E5BDF"/>
    <w:rsid w:val="005E5F12"/>
    <w:rsid w:val="005F3E29"/>
    <w:rsid w:val="005F652A"/>
    <w:rsid w:val="006142FC"/>
    <w:rsid w:val="00617275"/>
    <w:rsid w:val="00621620"/>
    <w:rsid w:val="006307BB"/>
    <w:rsid w:val="006339DA"/>
    <w:rsid w:val="00640680"/>
    <w:rsid w:val="00640CB0"/>
    <w:rsid w:val="0064388C"/>
    <w:rsid w:val="006444D5"/>
    <w:rsid w:val="006457AA"/>
    <w:rsid w:val="006472E9"/>
    <w:rsid w:val="00650769"/>
    <w:rsid w:val="00653F4C"/>
    <w:rsid w:val="006605D1"/>
    <w:rsid w:val="00660696"/>
    <w:rsid w:val="00665F07"/>
    <w:rsid w:val="00667D8A"/>
    <w:rsid w:val="006714D0"/>
    <w:rsid w:val="006757B4"/>
    <w:rsid w:val="0068110C"/>
    <w:rsid w:val="0068526B"/>
    <w:rsid w:val="00687121"/>
    <w:rsid w:val="0068748D"/>
    <w:rsid w:val="00696D90"/>
    <w:rsid w:val="006A09DF"/>
    <w:rsid w:val="006A0A03"/>
    <w:rsid w:val="006A343D"/>
    <w:rsid w:val="006A62B4"/>
    <w:rsid w:val="006A72A9"/>
    <w:rsid w:val="006B3001"/>
    <w:rsid w:val="006B5868"/>
    <w:rsid w:val="006B75E8"/>
    <w:rsid w:val="006B7F5A"/>
    <w:rsid w:val="006C1A54"/>
    <w:rsid w:val="006C3E2A"/>
    <w:rsid w:val="006C4623"/>
    <w:rsid w:val="006D07AB"/>
    <w:rsid w:val="006D12A4"/>
    <w:rsid w:val="006D173F"/>
    <w:rsid w:val="006D3646"/>
    <w:rsid w:val="006D5183"/>
    <w:rsid w:val="006D7C00"/>
    <w:rsid w:val="006E2049"/>
    <w:rsid w:val="006E2543"/>
    <w:rsid w:val="006E3F73"/>
    <w:rsid w:val="006E4BE4"/>
    <w:rsid w:val="006F33D1"/>
    <w:rsid w:val="006F50A1"/>
    <w:rsid w:val="006F50C0"/>
    <w:rsid w:val="006F528C"/>
    <w:rsid w:val="006F6CF0"/>
    <w:rsid w:val="006F7CBB"/>
    <w:rsid w:val="00700489"/>
    <w:rsid w:val="007022F5"/>
    <w:rsid w:val="00705E5A"/>
    <w:rsid w:val="0071365B"/>
    <w:rsid w:val="00714389"/>
    <w:rsid w:val="00715EEB"/>
    <w:rsid w:val="00725CA4"/>
    <w:rsid w:val="00727AD5"/>
    <w:rsid w:val="007332C4"/>
    <w:rsid w:val="007506E7"/>
    <w:rsid w:val="007521C6"/>
    <w:rsid w:val="00757795"/>
    <w:rsid w:val="00757D38"/>
    <w:rsid w:val="00765156"/>
    <w:rsid w:val="007652FB"/>
    <w:rsid w:val="00766B54"/>
    <w:rsid w:val="0077069D"/>
    <w:rsid w:val="00774869"/>
    <w:rsid w:val="00774FFA"/>
    <w:rsid w:val="007754D7"/>
    <w:rsid w:val="00780B72"/>
    <w:rsid w:val="007901E2"/>
    <w:rsid w:val="00793F9A"/>
    <w:rsid w:val="00794FA2"/>
    <w:rsid w:val="00795EFF"/>
    <w:rsid w:val="00796317"/>
    <w:rsid w:val="00796FC2"/>
    <w:rsid w:val="007A2B3A"/>
    <w:rsid w:val="007A6E55"/>
    <w:rsid w:val="007B054E"/>
    <w:rsid w:val="007B0B12"/>
    <w:rsid w:val="007B1713"/>
    <w:rsid w:val="007C18C7"/>
    <w:rsid w:val="007D08F7"/>
    <w:rsid w:val="007D5382"/>
    <w:rsid w:val="007D7EBA"/>
    <w:rsid w:val="007E0F36"/>
    <w:rsid w:val="007E1499"/>
    <w:rsid w:val="007E36D3"/>
    <w:rsid w:val="007E4E76"/>
    <w:rsid w:val="007E6E3E"/>
    <w:rsid w:val="007F15FE"/>
    <w:rsid w:val="007F31D1"/>
    <w:rsid w:val="007F362E"/>
    <w:rsid w:val="008026E1"/>
    <w:rsid w:val="0080633D"/>
    <w:rsid w:val="00807E97"/>
    <w:rsid w:val="008118EA"/>
    <w:rsid w:val="00817DBE"/>
    <w:rsid w:val="00817F9B"/>
    <w:rsid w:val="0082065C"/>
    <w:rsid w:val="0083233F"/>
    <w:rsid w:val="00834169"/>
    <w:rsid w:val="00840A20"/>
    <w:rsid w:val="008419DD"/>
    <w:rsid w:val="00842C6E"/>
    <w:rsid w:val="008447E1"/>
    <w:rsid w:val="00845749"/>
    <w:rsid w:val="00845BEB"/>
    <w:rsid w:val="00850593"/>
    <w:rsid w:val="00857698"/>
    <w:rsid w:val="00857BC9"/>
    <w:rsid w:val="008601C3"/>
    <w:rsid w:val="00860DBC"/>
    <w:rsid w:val="00864C88"/>
    <w:rsid w:val="008676FB"/>
    <w:rsid w:val="00880903"/>
    <w:rsid w:val="0088711D"/>
    <w:rsid w:val="00887B61"/>
    <w:rsid w:val="0089092C"/>
    <w:rsid w:val="00890C0A"/>
    <w:rsid w:val="008A2FDE"/>
    <w:rsid w:val="008A48A9"/>
    <w:rsid w:val="008A6639"/>
    <w:rsid w:val="008B46A5"/>
    <w:rsid w:val="008C2ABB"/>
    <w:rsid w:val="008C3546"/>
    <w:rsid w:val="008C3D73"/>
    <w:rsid w:val="008C53A6"/>
    <w:rsid w:val="008D08AA"/>
    <w:rsid w:val="008D090E"/>
    <w:rsid w:val="008D75D8"/>
    <w:rsid w:val="008E14CB"/>
    <w:rsid w:val="008E34B6"/>
    <w:rsid w:val="008E79D3"/>
    <w:rsid w:val="00900E90"/>
    <w:rsid w:val="00910D65"/>
    <w:rsid w:val="00914024"/>
    <w:rsid w:val="00914B76"/>
    <w:rsid w:val="00920845"/>
    <w:rsid w:val="00922173"/>
    <w:rsid w:val="009238B3"/>
    <w:rsid w:val="00923CC8"/>
    <w:rsid w:val="00924542"/>
    <w:rsid w:val="009249F9"/>
    <w:rsid w:val="00931884"/>
    <w:rsid w:val="00934A0F"/>
    <w:rsid w:val="00942316"/>
    <w:rsid w:val="00944604"/>
    <w:rsid w:val="009477FB"/>
    <w:rsid w:val="0094792B"/>
    <w:rsid w:val="00947AAA"/>
    <w:rsid w:val="009508DA"/>
    <w:rsid w:val="00951B46"/>
    <w:rsid w:val="00955F98"/>
    <w:rsid w:val="00956385"/>
    <w:rsid w:val="0095661B"/>
    <w:rsid w:val="0096305F"/>
    <w:rsid w:val="00963A9C"/>
    <w:rsid w:val="0096559B"/>
    <w:rsid w:val="00967229"/>
    <w:rsid w:val="00970F9F"/>
    <w:rsid w:val="00974B91"/>
    <w:rsid w:val="009751CB"/>
    <w:rsid w:val="00980DBA"/>
    <w:rsid w:val="00981A1C"/>
    <w:rsid w:val="00984027"/>
    <w:rsid w:val="00984D37"/>
    <w:rsid w:val="0099660B"/>
    <w:rsid w:val="009A1E12"/>
    <w:rsid w:val="009B0DA0"/>
    <w:rsid w:val="009B33F5"/>
    <w:rsid w:val="009B5901"/>
    <w:rsid w:val="009B5AC1"/>
    <w:rsid w:val="009C0637"/>
    <w:rsid w:val="009C22CB"/>
    <w:rsid w:val="009D11B2"/>
    <w:rsid w:val="009D4674"/>
    <w:rsid w:val="009D4B50"/>
    <w:rsid w:val="009D4F0A"/>
    <w:rsid w:val="009D67C2"/>
    <w:rsid w:val="009D6BD2"/>
    <w:rsid w:val="009D71E7"/>
    <w:rsid w:val="009E3307"/>
    <w:rsid w:val="009E6A03"/>
    <w:rsid w:val="009F0919"/>
    <w:rsid w:val="009F12BD"/>
    <w:rsid w:val="009F5751"/>
    <w:rsid w:val="009F5CE3"/>
    <w:rsid w:val="009F7EB7"/>
    <w:rsid w:val="00A00D5C"/>
    <w:rsid w:val="00A018C5"/>
    <w:rsid w:val="00A0325C"/>
    <w:rsid w:val="00A10954"/>
    <w:rsid w:val="00A10D80"/>
    <w:rsid w:val="00A1223A"/>
    <w:rsid w:val="00A21C38"/>
    <w:rsid w:val="00A23192"/>
    <w:rsid w:val="00A23A28"/>
    <w:rsid w:val="00A24B11"/>
    <w:rsid w:val="00A261D7"/>
    <w:rsid w:val="00A303FC"/>
    <w:rsid w:val="00A3287D"/>
    <w:rsid w:val="00A33219"/>
    <w:rsid w:val="00A33C18"/>
    <w:rsid w:val="00A351CD"/>
    <w:rsid w:val="00A35212"/>
    <w:rsid w:val="00A3534A"/>
    <w:rsid w:val="00A360C2"/>
    <w:rsid w:val="00A374A1"/>
    <w:rsid w:val="00A42C01"/>
    <w:rsid w:val="00A449C9"/>
    <w:rsid w:val="00A459D2"/>
    <w:rsid w:val="00A465C0"/>
    <w:rsid w:val="00A47D29"/>
    <w:rsid w:val="00A507EF"/>
    <w:rsid w:val="00A50A32"/>
    <w:rsid w:val="00A51E67"/>
    <w:rsid w:val="00A5298F"/>
    <w:rsid w:val="00A53348"/>
    <w:rsid w:val="00A538C6"/>
    <w:rsid w:val="00A5554E"/>
    <w:rsid w:val="00A56828"/>
    <w:rsid w:val="00A60CAE"/>
    <w:rsid w:val="00A61B91"/>
    <w:rsid w:val="00A62EC8"/>
    <w:rsid w:val="00A662ED"/>
    <w:rsid w:val="00A66603"/>
    <w:rsid w:val="00A700DF"/>
    <w:rsid w:val="00A72910"/>
    <w:rsid w:val="00A73B71"/>
    <w:rsid w:val="00A73D59"/>
    <w:rsid w:val="00A839E1"/>
    <w:rsid w:val="00A93866"/>
    <w:rsid w:val="00A94231"/>
    <w:rsid w:val="00AA4112"/>
    <w:rsid w:val="00AA6FC1"/>
    <w:rsid w:val="00AB4F5B"/>
    <w:rsid w:val="00AB662E"/>
    <w:rsid w:val="00AC0C7D"/>
    <w:rsid w:val="00AC19AE"/>
    <w:rsid w:val="00AC3CD9"/>
    <w:rsid w:val="00AD158B"/>
    <w:rsid w:val="00AD55F7"/>
    <w:rsid w:val="00AD586D"/>
    <w:rsid w:val="00AD73C2"/>
    <w:rsid w:val="00AD73CF"/>
    <w:rsid w:val="00AE6620"/>
    <w:rsid w:val="00B017B0"/>
    <w:rsid w:val="00B044D6"/>
    <w:rsid w:val="00B075AB"/>
    <w:rsid w:val="00B11537"/>
    <w:rsid w:val="00B219DF"/>
    <w:rsid w:val="00B22A89"/>
    <w:rsid w:val="00B25055"/>
    <w:rsid w:val="00B25289"/>
    <w:rsid w:val="00B25E16"/>
    <w:rsid w:val="00B34505"/>
    <w:rsid w:val="00B43BE8"/>
    <w:rsid w:val="00B43F42"/>
    <w:rsid w:val="00B44035"/>
    <w:rsid w:val="00B45857"/>
    <w:rsid w:val="00B50C66"/>
    <w:rsid w:val="00B52788"/>
    <w:rsid w:val="00B52E50"/>
    <w:rsid w:val="00B530E7"/>
    <w:rsid w:val="00B53A1F"/>
    <w:rsid w:val="00B54BED"/>
    <w:rsid w:val="00B56C24"/>
    <w:rsid w:val="00B62DF7"/>
    <w:rsid w:val="00B653BC"/>
    <w:rsid w:val="00B72890"/>
    <w:rsid w:val="00B72B31"/>
    <w:rsid w:val="00B800BA"/>
    <w:rsid w:val="00B81A12"/>
    <w:rsid w:val="00B84FFD"/>
    <w:rsid w:val="00B86DAD"/>
    <w:rsid w:val="00B87C90"/>
    <w:rsid w:val="00BA0029"/>
    <w:rsid w:val="00BA04E9"/>
    <w:rsid w:val="00BA0976"/>
    <w:rsid w:val="00BA4127"/>
    <w:rsid w:val="00BA6573"/>
    <w:rsid w:val="00BA6DE3"/>
    <w:rsid w:val="00BA7BF1"/>
    <w:rsid w:val="00BB5267"/>
    <w:rsid w:val="00BB6EFC"/>
    <w:rsid w:val="00BC4A56"/>
    <w:rsid w:val="00BC613E"/>
    <w:rsid w:val="00BC7022"/>
    <w:rsid w:val="00BC7327"/>
    <w:rsid w:val="00BD1932"/>
    <w:rsid w:val="00BD2CB6"/>
    <w:rsid w:val="00BD3378"/>
    <w:rsid w:val="00BD4131"/>
    <w:rsid w:val="00BD7778"/>
    <w:rsid w:val="00BE12BA"/>
    <w:rsid w:val="00BE42E7"/>
    <w:rsid w:val="00BF23FC"/>
    <w:rsid w:val="00BF4899"/>
    <w:rsid w:val="00BF61C1"/>
    <w:rsid w:val="00C0059E"/>
    <w:rsid w:val="00C00982"/>
    <w:rsid w:val="00C122BF"/>
    <w:rsid w:val="00C12900"/>
    <w:rsid w:val="00C135E8"/>
    <w:rsid w:val="00C14CA8"/>
    <w:rsid w:val="00C170F9"/>
    <w:rsid w:val="00C20B49"/>
    <w:rsid w:val="00C22D1B"/>
    <w:rsid w:val="00C25613"/>
    <w:rsid w:val="00C27E5E"/>
    <w:rsid w:val="00C3395F"/>
    <w:rsid w:val="00C366E7"/>
    <w:rsid w:val="00C36DB0"/>
    <w:rsid w:val="00C410B2"/>
    <w:rsid w:val="00C50B3B"/>
    <w:rsid w:val="00C5429C"/>
    <w:rsid w:val="00C62C76"/>
    <w:rsid w:val="00C62F33"/>
    <w:rsid w:val="00C66BC4"/>
    <w:rsid w:val="00C84480"/>
    <w:rsid w:val="00C90548"/>
    <w:rsid w:val="00C9262D"/>
    <w:rsid w:val="00C937F6"/>
    <w:rsid w:val="00C95A3D"/>
    <w:rsid w:val="00CA591E"/>
    <w:rsid w:val="00CB15DA"/>
    <w:rsid w:val="00CB4237"/>
    <w:rsid w:val="00CB48FA"/>
    <w:rsid w:val="00CC37DD"/>
    <w:rsid w:val="00CC3BE6"/>
    <w:rsid w:val="00CC3F71"/>
    <w:rsid w:val="00CC4420"/>
    <w:rsid w:val="00CC67F3"/>
    <w:rsid w:val="00CD1251"/>
    <w:rsid w:val="00CE3EA0"/>
    <w:rsid w:val="00CE595B"/>
    <w:rsid w:val="00CE5CD1"/>
    <w:rsid w:val="00CE68D6"/>
    <w:rsid w:val="00CF07BA"/>
    <w:rsid w:val="00CF398A"/>
    <w:rsid w:val="00D011A0"/>
    <w:rsid w:val="00D0417D"/>
    <w:rsid w:val="00D05CD8"/>
    <w:rsid w:val="00D12C4D"/>
    <w:rsid w:val="00D31145"/>
    <w:rsid w:val="00D31444"/>
    <w:rsid w:val="00D342BD"/>
    <w:rsid w:val="00D431C7"/>
    <w:rsid w:val="00D43609"/>
    <w:rsid w:val="00D45A53"/>
    <w:rsid w:val="00D464BE"/>
    <w:rsid w:val="00D47B1D"/>
    <w:rsid w:val="00D54D67"/>
    <w:rsid w:val="00D55F4C"/>
    <w:rsid w:val="00D57DF9"/>
    <w:rsid w:val="00D61591"/>
    <w:rsid w:val="00D65AEA"/>
    <w:rsid w:val="00D66376"/>
    <w:rsid w:val="00D769DB"/>
    <w:rsid w:val="00D8257D"/>
    <w:rsid w:val="00D842EF"/>
    <w:rsid w:val="00D94842"/>
    <w:rsid w:val="00DA07A8"/>
    <w:rsid w:val="00DA168C"/>
    <w:rsid w:val="00DA2C7F"/>
    <w:rsid w:val="00DA37C9"/>
    <w:rsid w:val="00DA6E18"/>
    <w:rsid w:val="00DB0EC1"/>
    <w:rsid w:val="00DB0F1B"/>
    <w:rsid w:val="00DB1D33"/>
    <w:rsid w:val="00DB2FAA"/>
    <w:rsid w:val="00DC205A"/>
    <w:rsid w:val="00DC6F2E"/>
    <w:rsid w:val="00DD2165"/>
    <w:rsid w:val="00DD7191"/>
    <w:rsid w:val="00DE04B3"/>
    <w:rsid w:val="00DF4721"/>
    <w:rsid w:val="00DF788F"/>
    <w:rsid w:val="00E012D5"/>
    <w:rsid w:val="00E03647"/>
    <w:rsid w:val="00E06FB3"/>
    <w:rsid w:val="00E1787A"/>
    <w:rsid w:val="00E22D43"/>
    <w:rsid w:val="00E43056"/>
    <w:rsid w:val="00E4541F"/>
    <w:rsid w:val="00E53EBD"/>
    <w:rsid w:val="00E5482F"/>
    <w:rsid w:val="00E5485D"/>
    <w:rsid w:val="00E556C7"/>
    <w:rsid w:val="00E56B04"/>
    <w:rsid w:val="00E7097D"/>
    <w:rsid w:val="00E73532"/>
    <w:rsid w:val="00E741AB"/>
    <w:rsid w:val="00E75E92"/>
    <w:rsid w:val="00E77728"/>
    <w:rsid w:val="00E80D08"/>
    <w:rsid w:val="00E832B0"/>
    <w:rsid w:val="00E83C96"/>
    <w:rsid w:val="00E8474D"/>
    <w:rsid w:val="00E94156"/>
    <w:rsid w:val="00EA098A"/>
    <w:rsid w:val="00EA0E4A"/>
    <w:rsid w:val="00EA28E6"/>
    <w:rsid w:val="00EA4669"/>
    <w:rsid w:val="00EA76AA"/>
    <w:rsid w:val="00EB0528"/>
    <w:rsid w:val="00EB0668"/>
    <w:rsid w:val="00EB2E33"/>
    <w:rsid w:val="00EC24DE"/>
    <w:rsid w:val="00EC2B39"/>
    <w:rsid w:val="00ED32F3"/>
    <w:rsid w:val="00EE036A"/>
    <w:rsid w:val="00EF3BA7"/>
    <w:rsid w:val="00EF3C01"/>
    <w:rsid w:val="00EF74BD"/>
    <w:rsid w:val="00F00134"/>
    <w:rsid w:val="00F0143D"/>
    <w:rsid w:val="00F019F9"/>
    <w:rsid w:val="00F0526D"/>
    <w:rsid w:val="00F12229"/>
    <w:rsid w:val="00F15FF3"/>
    <w:rsid w:val="00F21A96"/>
    <w:rsid w:val="00F2242B"/>
    <w:rsid w:val="00F259EB"/>
    <w:rsid w:val="00F267D3"/>
    <w:rsid w:val="00F27584"/>
    <w:rsid w:val="00F37BA4"/>
    <w:rsid w:val="00F41786"/>
    <w:rsid w:val="00F42DF6"/>
    <w:rsid w:val="00F5508F"/>
    <w:rsid w:val="00F905FF"/>
    <w:rsid w:val="00F92D73"/>
    <w:rsid w:val="00FB18EA"/>
    <w:rsid w:val="00FB45BC"/>
    <w:rsid w:val="00FB4FA0"/>
    <w:rsid w:val="00FB7DF1"/>
    <w:rsid w:val="00FC2BEB"/>
    <w:rsid w:val="00FC5E0E"/>
    <w:rsid w:val="00FC6CF9"/>
    <w:rsid w:val="00FC70EC"/>
    <w:rsid w:val="00FD14EE"/>
    <w:rsid w:val="00FD23C5"/>
    <w:rsid w:val="00FD3F75"/>
    <w:rsid w:val="00FD5785"/>
    <w:rsid w:val="00FD7BBB"/>
    <w:rsid w:val="00FE2DB9"/>
    <w:rsid w:val="00FF0106"/>
    <w:rsid w:val="00FF0F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644"/>
  <w15:chartTrackingRefBased/>
  <w15:docId w15:val="{CF6170AE-3B2F-4A15-9F32-D1847C7A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FFD"/>
    <w:pPr>
      <w:suppressAutoHyphens/>
      <w:autoSpaceDN w:val="0"/>
      <w:spacing w:line="244" w:lineRule="auto"/>
      <w:textAlignment w:val="baseline"/>
    </w:pPr>
    <w:rPr>
      <w:rFonts w:ascii="Calibri" w:eastAsia="Calibri" w:hAnsi="Calibri" w:cs="Times New Roman"/>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B84FFD"/>
    <w:pPr>
      <w:tabs>
        <w:tab w:val="center" w:pos="4536"/>
        <w:tab w:val="right" w:pos="9072"/>
      </w:tabs>
      <w:spacing w:after="0" w:line="240" w:lineRule="auto"/>
    </w:pPr>
  </w:style>
  <w:style w:type="character" w:customStyle="1" w:styleId="PieddepageCar">
    <w:name w:val="Pied de page Car"/>
    <w:basedOn w:val="Policepardfaut"/>
    <w:link w:val="Pieddepage"/>
    <w:rsid w:val="00B84FFD"/>
    <w:rPr>
      <w:rFonts w:ascii="Calibri" w:eastAsia="Calibri" w:hAnsi="Calibri" w:cs="Times New Roman"/>
      <w:kern w:val="0"/>
      <w14:ligatures w14:val="none"/>
    </w:rPr>
  </w:style>
  <w:style w:type="paragraph" w:styleId="Paragraphedeliste">
    <w:name w:val="List Paragraph"/>
    <w:basedOn w:val="Normal"/>
    <w:rsid w:val="00B84FFD"/>
    <w:pPr>
      <w:ind w:left="720"/>
    </w:pPr>
  </w:style>
  <w:style w:type="table" w:styleId="Grilledutableau">
    <w:name w:val="Table Grid"/>
    <w:basedOn w:val="TableauNormal"/>
    <w:uiPriority w:val="39"/>
    <w:rsid w:val="00B84FF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DSTableWithoutBorders">
    <w:name w:val="SDS_Table_WithoutBorders"/>
    <w:basedOn w:val="TableauNormal"/>
    <w:rsid w:val="00B84FFD"/>
    <w:pPr>
      <w:keepLines/>
      <w:spacing w:after="0" w:line="240" w:lineRule="auto"/>
    </w:pPr>
    <w:rPr>
      <w:rFonts w:ascii="Arial" w:eastAsia="Times New Roman" w:hAnsi="Arial" w:cs="Times New Roman"/>
      <w:kern w:val="0"/>
      <w:sz w:val="16"/>
      <w:szCs w:val="20"/>
      <w:lang w:val="en-GB" w:eastAsia="en-GB"/>
      <w14:ligatures w14:val="none"/>
    </w:r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B84FFD"/>
    <w:pPr>
      <w:keepLines/>
      <w:spacing w:after="0" w:line="288" w:lineRule="auto"/>
    </w:pPr>
    <w:rPr>
      <w:rFonts w:ascii="Arial" w:eastAsia="Times New Roman" w:hAnsi="Arial" w:cs="Arial"/>
      <w:noProof/>
      <w:kern w:val="0"/>
      <w:sz w:val="16"/>
      <w:szCs w:val="12"/>
      <w:lang w:val="en-GB" w:eastAsia="nl-NL"/>
      <w14:ligatures w14:val="none"/>
    </w:rPr>
  </w:style>
  <w:style w:type="character" w:customStyle="1" w:styleId="SDSTableTextNormalChar">
    <w:name w:val="SDS_TableText_Normal Char"/>
    <w:link w:val="SDSTableTextNormal"/>
    <w:uiPriority w:val="12"/>
    <w:rsid w:val="00B84FFD"/>
    <w:rPr>
      <w:rFonts w:ascii="Arial" w:eastAsia="Times New Roman" w:hAnsi="Arial" w:cs="Arial"/>
      <w:noProof/>
      <w:kern w:val="0"/>
      <w:sz w:val="16"/>
      <w:szCs w:val="12"/>
      <w:lang w:val="en-GB" w:eastAsia="nl-NL"/>
      <w14:ligatures w14:val="none"/>
    </w:rPr>
  </w:style>
  <w:style w:type="paragraph" w:customStyle="1" w:styleId="SDSTableTextCentered">
    <w:name w:val="SDS_TableText_Centered"/>
    <w:basedOn w:val="SDSTableTextNormal"/>
    <w:link w:val="SDSTableTextCenteredChar"/>
    <w:uiPriority w:val="16"/>
    <w:rsid w:val="00B84FFD"/>
    <w:pPr>
      <w:jc w:val="center"/>
    </w:pPr>
  </w:style>
  <w:style w:type="character" w:customStyle="1" w:styleId="SDSTableTextCenteredChar">
    <w:name w:val="SDS_TableText_Centered Char"/>
    <w:link w:val="SDSTableTextCentered"/>
    <w:uiPriority w:val="16"/>
    <w:rsid w:val="00B84FFD"/>
    <w:rPr>
      <w:rFonts w:ascii="Arial" w:eastAsia="Times New Roman" w:hAnsi="Arial" w:cs="Arial"/>
      <w:noProof/>
      <w:kern w:val="0"/>
      <w:sz w:val="16"/>
      <w:szCs w:val="12"/>
      <w:lang w:val="en-GB" w:eastAsia="nl-NL"/>
      <w14:ligatures w14:val="none"/>
    </w:rPr>
  </w:style>
  <w:style w:type="paragraph" w:customStyle="1" w:styleId="SDSTableTextColonColumn">
    <w:name w:val="SDS_TableText_ColonColumn"/>
    <w:basedOn w:val="SDSTableTextNormal"/>
    <w:link w:val="SDSTableTextColonColumnChar"/>
    <w:uiPriority w:val="16"/>
    <w:rsid w:val="00B84FFD"/>
    <w:pPr>
      <w:jc w:val="center"/>
    </w:pPr>
  </w:style>
  <w:style w:type="character" w:customStyle="1" w:styleId="SDSTableTextColonColumnChar">
    <w:name w:val="SDS_TableText_ColonColumn Char"/>
    <w:link w:val="SDSTableTextColonColumn"/>
    <w:uiPriority w:val="16"/>
    <w:rsid w:val="00B84FFD"/>
    <w:rPr>
      <w:rFonts w:ascii="Arial" w:eastAsia="Times New Roman" w:hAnsi="Arial" w:cs="Arial"/>
      <w:noProof/>
      <w:kern w:val="0"/>
      <w:sz w:val="16"/>
      <w:szCs w:val="12"/>
      <w:lang w:val="en-GB" w:eastAsia="nl-NL"/>
      <w14:ligatures w14:val="none"/>
    </w:rPr>
  </w:style>
  <w:style w:type="paragraph" w:styleId="En-tte">
    <w:name w:val="header"/>
    <w:basedOn w:val="Normal"/>
    <w:link w:val="En-tteCar"/>
    <w:uiPriority w:val="99"/>
    <w:unhideWhenUsed/>
    <w:rsid w:val="00B45857"/>
    <w:pPr>
      <w:tabs>
        <w:tab w:val="center" w:pos="4513"/>
        <w:tab w:val="right" w:pos="9026"/>
      </w:tabs>
      <w:spacing w:after="0" w:line="240" w:lineRule="auto"/>
    </w:pPr>
  </w:style>
  <w:style w:type="character" w:customStyle="1" w:styleId="En-tteCar">
    <w:name w:val="En-tête Car"/>
    <w:basedOn w:val="Policepardfaut"/>
    <w:link w:val="En-tte"/>
    <w:uiPriority w:val="99"/>
    <w:rsid w:val="00B45857"/>
    <w:rPr>
      <w:rFonts w:ascii="Calibri" w:eastAsia="Calibri" w:hAnsi="Calibri" w:cs="Times New Roman"/>
      <w:kern w:val="0"/>
      <w14:ligatures w14:val="none"/>
    </w:rPr>
  </w:style>
  <w:style w:type="table" w:customStyle="1" w:styleId="TableNormal">
    <w:name w:val="Table Normal"/>
    <w:uiPriority w:val="2"/>
    <w:semiHidden/>
    <w:unhideWhenUsed/>
    <w:qFormat/>
    <w:rsid w:val="00FB18E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B18EA"/>
    <w:pPr>
      <w:widowControl w:val="0"/>
      <w:suppressAutoHyphens w:val="0"/>
      <w:autoSpaceDE w:val="0"/>
      <w:spacing w:before="65" w:after="0" w:line="240" w:lineRule="auto"/>
      <w:ind w:left="57"/>
      <w:textAlignment w:val="auto"/>
    </w:pPr>
    <w:rPr>
      <w:rFonts w:ascii="Arial MT" w:eastAsia="Arial MT" w:hAnsi="Arial MT" w:cs="Arial MT"/>
    </w:rPr>
  </w:style>
  <w:style w:type="paragraph" w:styleId="Corpsdetexte">
    <w:name w:val="Body Text"/>
    <w:basedOn w:val="Normal"/>
    <w:link w:val="CorpsdetexteCar"/>
    <w:uiPriority w:val="1"/>
    <w:qFormat/>
    <w:rsid w:val="00C410B2"/>
    <w:pPr>
      <w:widowControl w:val="0"/>
      <w:suppressAutoHyphens w:val="0"/>
      <w:autoSpaceDE w:val="0"/>
      <w:spacing w:after="0" w:line="240" w:lineRule="auto"/>
      <w:textAlignment w:val="auto"/>
    </w:pPr>
    <w:rPr>
      <w:rFonts w:ascii="Arial MT" w:eastAsia="Arial MT" w:hAnsi="Arial MT" w:cs="Arial MT"/>
      <w:sz w:val="16"/>
      <w:szCs w:val="16"/>
    </w:rPr>
  </w:style>
  <w:style w:type="character" w:customStyle="1" w:styleId="CorpsdetexteCar">
    <w:name w:val="Corps de texte Car"/>
    <w:basedOn w:val="Policepardfaut"/>
    <w:link w:val="Corpsdetexte"/>
    <w:uiPriority w:val="1"/>
    <w:rsid w:val="00C410B2"/>
    <w:rPr>
      <w:rFonts w:ascii="Arial MT" w:eastAsia="Arial MT" w:hAnsi="Arial MT" w:cs="Arial MT"/>
      <w:kern w:val="0"/>
      <w:sz w:val="16"/>
      <w:szCs w:val="16"/>
      <w14:ligatures w14:val="none"/>
    </w:rPr>
  </w:style>
  <w:style w:type="table" w:customStyle="1" w:styleId="TableGrid">
    <w:name w:val="TableGrid"/>
    <w:rsid w:val="00243BE9"/>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31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jpshop.f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2124</Words>
  <Characters>11682</Characters>
  <Application>Microsoft Office Word</Application>
  <DocSecurity>0</DocSecurity>
  <Lines>97</Lines>
  <Paragraphs>27</Paragraphs>
  <ScaleCrop>false</ScaleCrop>
  <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Maël Minet</dc:creator>
  <cp:keywords/>
  <dc:description/>
  <cp:lastModifiedBy>Maël Minet</cp:lastModifiedBy>
  <cp:revision>708</cp:revision>
  <dcterms:created xsi:type="dcterms:W3CDTF">2023-08-01T09:04:00Z</dcterms:created>
  <dcterms:modified xsi:type="dcterms:W3CDTF">2024-04-30T19:46:00Z</dcterms:modified>
</cp:coreProperties>
</file>