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3690" w14:textId="77777777" w:rsidR="00AF6BC0" w:rsidRDefault="00AF6BC0" w:rsidP="00AF6BC0">
      <w:pPr>
        <w:spacing w:after="0" w:line="259" w:lineRule="auto"/>
        <w:ind w:left="-5"/>
      </w:pPr>
      <w:r>
        <w:rPr>
          <w:b/>
        </w:rPr>
        <w:t>FICHE DE DONNEES DE SECURITE</w:t>
      </w:r>
      <w:r>
        <w:t xml:space="preserve"> </w:t>
      </w:r>
    </w:p>
    <w:p w14:paraId="5519F7B2" w14:textId="77777777" w:rsidR="00AF6BC0" w:rsidRDefault="00AF6BC0" w:rsidP="00AF6BC0">
      <w:pPr>
        <w:spacing w:after="0" w:line="259" w:lineRule="auto"/>
        <w:ind w:left="0" w:firstLine="0"/>
      </w:pPr>
      <w:r>
        <w:t xml:space="preserve"> </w:t>
      </w:r>
    </w:p>
    <w:p w14:paraId="1D42F659" w14:textId="17726208" w:rsidR="00AF6BC0" w:rsidRDefault="00AC1EDB" w:rsidP="00AC1EDB">
      <w:pPr>
        <w:pStyle w:val="NormalWeb"/>
      </w:pPr>
      <w:r>
        <w:rPr>
          <w:rFonts w:ascii="TimesNewRomanPS" w:hAnsi="TimesNewRomanPS"/>
          <w:b/>
          <w:bCs/>
        </w:rPr>
        <w:t xml:space="preserve">SABLE POUR BOUGIE </w:t>
      </w:r>
      <w:r>
        <w:br/>
      </w:r>
      <w:r>
        <w:rPr>
          <w:rFonts w:ascii="TimesNewRomanPSMT" w:hAnsi="TimesNewRomanPSMT"/>
          <w:sz w:val="20"/>
          <w:szCs w:val="20"/>
        </w:rPr>
        <w:t xml:space="preserve">Date d’impression : 15 juillet 2024 </w:t>
      </w:r>
      <w:r>
        <w:rPr>
          <w:rFonts w:ascii="TimesNewRomanPSMT" w:hAnsi="TimesNewRomanPSMT"/>
          <w:sz w:val="20"/>
          <w:szCs w:val="20"/>
        </w:rPr>
        <w:br/>
      </w:r>
      <w:r w:rsidR="00AF6BC0">
        <w:rPr>
          <w:color w:val="000000"/>
          <w:sz w:val="20"/>
        </w:rPr>
        <w:t xml:space="preserve">Date de révision : </w:t>
      </w:r>
      <w:r>
        <w:rPr>
          <w:color w:val="000000"/>
          <w:sz w:val="20"/>
        </w:rPr>
        <w:t>22 septembre 2023</w:t>
      </w:r>
    </w:p>
    <w:p w14:paraId="2CF16902" w14:textId="77777777" w:rsidR="00AF6BC0" w:rsidRDefault="00AF6BC0" w:rsidP="00AF6BC0">
      <w:pPr>
        <w:spacing w:after="10"/>
        <w:ind w:left="-5"/>
      </w:pPr>
      <w:r>
        <w:t xml:space="preserve">Version : 1.0 </w:t>
      </w:r>
    </w:p>
    <w:p w14:paraId="40168258" w14:textId="77777777" w:rsidR="00AF6BC0" w:rsidRDefault="00AF6BC0" w:rsidP="00AF6BC0">
      <w:pPr>
        <w:spacing w:after="12" w:line="259" w:lineRule="auto"/>
        <w:ind w:left="-29" w:right="-3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392F6A" wp14:editId="3ADCE30E">
                <wp:extent cx="7057390" cy="18288"/>
                <wp:effectExtent l="0" t="0" r="0" b="0"/>
                <wp:docPr id="16922" name="Group 1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7390" cy="18288"/>
                          <a:chOff x="0" y="0"/>
                          <a:chExt cx="7057390" cy="18288"/>
                        </a:xfrm>
                      </wpg:grpSpPr>
                      <wps:wsp>
                        <wps:cNvPr id="19163" name="Shape 19163"/>
                        <wps:cNvSpPr/>
                        <wps:spPr>
                          <a:xfrm>
                            <a:off x="0" y="0"/>
                            <a:ext cx="705739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7390" h="18288">
                                <a:moveTo>
                                  <a:pt x="0" y="0"/>
                                </a:moveTo>
                                <a:lnTo>
                                  <a:pt x="7057390" y="0"/>
                                </a:lnTo>
                                <a:lnTo>
                                  <a:pt x="705739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B606C" id="Group 16922" o:spid="_x0000_s1026" style="width:555.7pt;height:1.45pt;mso-position-horizontal-relative:char;mso-position-vertical-relative:line" coordsize="70573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">
                <v:shape id="Shape 19163" o:spid="_x0000_s1027" style="position:absolute;width:70573;height:182;visibility:visible;mso-wrap-style:square;v-text-anchor:top" coordsize="7057390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" path="m,l7057390,r,18288l,18288,,e" fillcolor="#000001" stroked="f" strokeweight="0">
                  <v:stroke miterlimit="83231f" joinstyle="miter"/>
                  <v:path arrowok="t" textboxrect="0,0,7057390,18288"/>
                </v:shape>
                <w10:anchorlock/>
              </v:group>
            </w:pict>
          </mc:Fallback>
        </mc:AlternateContent>
      </w:r>
    </w:p>
    <w:p w14:paraId="3A934276" w14:textId="77777777" w:rsidR="00AF6BC0" w:rsidRDefault="00AF6BC0" w:rsidP="00AF6BC0">
      <w:pPr>
        <w:spacing w:after="171" w:line="259" w:lineRule="auto"/>
        <w:ind w:left="0" w:firstLine="0"/>
      </w:pPr>
      <w:r>
        <w:t xml:space="preserve"> </w:t>
      </w:r>
    </w:p>
    <w:p w14:paraId="3E697033" w14:textId="77777777" w:rsidR="00AF6BC0" w:rsidRDefault="00AF6BC0" w:rsidP="00AF6BC0">
      <w:pPr>
        <w:spacing w:after="173" w:line="259" w:lineRule="auto"/>
        <w:ind w:left="293"/>
      </w:pPr>
      <w:r>
        <w:rPr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u w:val="single" w:color="00000A"/>
        </w:rPr>
        <w:t>IDENTIFICATION DE LA PREPARATION ET DE LA SOCIETE</w:t>
      </w:r>
      <w:r>
        <w:rPr>
          <w:b/>
        </w:rPr>
        <w:t xml:space="preserve"> </w:t>
      </w:r>
    </w:p>
    <w:p w14:paraId="007BEC5D" w14:textId="77777777" w:rsidR="00C84647" w:rsidRDefault="00C84647" w:rsidP="00C84647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1. IDENTIFICATION DE LA SUBSTANCE ET DES COMPAGNIES :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Numéro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d’enregistrement REACH : </w:t>
      </w:r>
      <w:r>
        <w:rPr>
          <w:rFonts w:ascii="TimesNewRomanPSMT" w:hAnsi="TimesNewRomanPSMT"/>
          <w:sz w:val="20"/>
          <w:szCs w:val="20"/>
        </w:rPr>
        <w:t xml:space="preserve">01-2119543709-29-0004 </w:t>
      </w:r>
    </w:p>
    <w:p w14:paraId="2D27493C" w14:textId="77777777" w:rsidR="00C84647" w:rsidRDefault="00C84647" w:rsidP="00C84647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1.1 Identification de la substance : </w:t>
      </w:r>
      <w:r>
        <w:rPr>
          <w:rFonts w:ascii="TimesNewRomanPSMT" w:hAnsi="TimesNewRomanPSMT"/>
        </w:rPr>
        <w:t xml:space="preserve">Acides gras issue des cutures de palm ; cultures RSPO </w:t>
      </w:r>
    </w:p>
    <w:p w14:paraId="0EF9F832" w14:textId="77777777" w:rsidR="00AF6BC0" w:rsidRDefault="00AF6BC0" w:rsidP="00AF6BC0">
      <w:pPr>
        <w:spacing w:after="171" w:line="259" w:lineRule="auto"/>
        <w:ind w:left="-5"/>
      </w:pPr>
      <w:r>
        <w:rPr>
          <w:b/>
        </w:rPr>
        <w:t xml:space="preserve">Renseignements concernant le fournisseur : </w:t>
      </w:r>
    </w:p>
    <w:p w14:paraId="26B355A1" w14:textId="284D7D4A" w:rsidR="00AF6BC0" w:rsidRDefault="00AF6BC0" w:rsidP="00AF6BC0">
      <w:pPr>
        <w:spacing w:after="0" w:line="259" w:lineRule="auto"/>
        <w:ind w:left="-5"/>
      </w:pPr>
      <w:r>
        <w:rPr>
          <w:sz w:val="22"/>
        </w:rPr>
        <w:t>JPSHOP EURL</w:t>
      </w:r>
    </w:p>
    <w:p w14:paraId="48E8D58F" w14:textId="12E0273A" w:rsidR="00AF6BC0" w:rsidRDefault="00AF6BC0" w:rsidP="00AF6BC0">
      <w:pPr>
        <w:spacing w:after="0" w:line="259" w:lineRule="auto"/>
        <w:ind w:left="-5"/>
      </w:pPr>
      <w:r>
        <w:rPr>
          <w:color w:val="000000"/>
          <w:sz w:val="22"/>
        </w:rPr>
        <w:t>Le Chatel – Route de Provins</w:t>
      </w:r>
    </w:p>
    <w:p w14:paraId="2755A126" w14:textId="60DE363B" w:rsidR="00AF6BC0" w:rsidRDefault="00AF6BC0" w:rsidP="00AF6BC0">
      <w:pPr>
        <w:spacing w:after="0" w:line="259" w:lineRule="auto"/>
        <w:ind w:left="-5"/>
      </w:pPr>
      <w:r>
        <w:rPr>
          <w:color w:val="000000"/>
          <w:sz w:val="22"/>
        </w:rPr>
        <w:t>77370 Nangis France</w:t>
      </w:r>
    </w:p>
    <w:p w14:paraId="1B13EC40" w14:textId="645D6866" w:rsidR="00AF6BC0" w:rsidRDefault="00AF6BC0" w:rsidP="00AF6BC0">
      <w:pPr>
        <w:spacing w:after="0" w:line="259" w:lineRule="auto"/>
        <w:ind w:left="-5"/>
      </w:pPr>
      <w:r>
        <w:rPr>
          <w:color w:val="000000"/>
          <w:sz w:val="22"/>
        </w:rPr>
        <w:t xml:space="preserve">Tél. : 33 (0)9 52 00 10 60 </w:t>
      </w:r>
    </w:p>
    <w:p w14:paraId="665B04A0" w14:textId="5015BC9D" w:rsidR="00AF6BC0" w:rsidRDefault="00AF6BC0" w:rsidP="00AF6BC0">
      <w:pPr>
        <w:spacing w:after="0" w:line="259" w:lineRule="auto"/>
        <w:ind w:left="-5"/>
      </w:pPr>
      <w:proofErr w:type="gramStart"/>
      <w:r>
        <w:rPr>
          <w:color w:val="000000"/>
          <w:sz w:val="22"/>
        </w:rPr>
        <w:t>E-Mail</w:t>
      </w:r>
      <w:proofErr w:type="gramEnd"/>
      <w:r>
        <w:rPr>
          <w:color w:val="000000"/>
          <w:sz w:val="22"/>
        </w:rPr>
        <w:t xml:space="preserve"> : contact@jpshop.fr</w:t>
      </w:r>
      <w:r>
        <w:rPr>
          <w:color w:val="00B0F0"/>
          <w:sz w:val="20"/>
        </w:rPr>
        <w:t xml:space="preserve"> </w:t>
      </w:r>
    </w:p>
    <w:p w14:paraId="4CCD62DD" w14:textId="77777777" w:rsidR="00AF6BC0" w:rsidRDefault="00AF6BC0" w:rsidP="00AF6BC0">
      <w:pPr>
        <w:spacing w:after="14" w:line="259" w:lineRule="auto"/>
        <w:ind w:left="0" w:firstLine="0"/>
      </w:pPr>
      <w:r>
        <w:rPr>
          <w:color w:val="000000"/>
        </w:rPr>
        <w:t xml:space="preserve"> </w:t>
      </w:r>
    </w:p>
    <w:p w14:paraId="7E5691F9" w14:textId="1AF97EA0" w:rsidR="00AF6BC0" w:rsidRDefault="00AF6BC0" w:rsidP="00AF6BC0">
      <w:pPr>
        <w:spacing w:after="5" w:line="248" w:lineRule="auto"/>
        <w:ind w:left="-5" w:right="4701"/>
      </w:pPr>
      <w:r>
        <w:rPr>
          <w:color w:val="000000"/>
        </w:rPr>
        <w:t xml:space="preserve"> </w:t>
      </w:r>
      <w:r>
        <w:rPr>
          <w:color w:val="000000"/>
          <w:sz w:val="20"/>
        </w:rPr>
        <w:t>N° de téléphone d’appel d’urgence : ORFILA 33</w:t>
      </w:r>
      <w:r w:rsidR="00C84647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(0)145 42 59 </w:t>
      </w:r>
      <w:proofErr w:type="gramStart"/>
      <w:r>
        <w:rPr>
          <w:color w:val="000000"/>
          <w:sz w:val="20"/>
        </w:rPr>
        <w:t>59  CENTRES</w:t>
      </w:r>
      <w:proofErr w:type="gramEnd"/>
      <w:r>
        <w:rPr>
          <w:color w:val="000000"/>
          <w:sz w:val="20"/>
        </w:rPr>
        <w:t xml:space="preserve"> ANTI-POISON :  </w:t>
      </w:r>
    </w:p>
    <w:p w14:paraId="5A2AE78E" w14:textId="77777777" w:rsidR="00AF6BC0" w:rsidRDefault="00AF6BC0" w:rsidP="00AF6BC0">
      <w:pPr>
        <w:spacing w:after="5" w:line="248" w:lineRule="auto"/>
        <w:ind w:left="-5" w:right="2909"/>
      </w:pPr>
      <w:r>
        <w:rPr>
          <w:color w:val="000000"/>
          <w:sz w:val="20"/>
        </w:rPr>
        <w:t xml:space="preserve">Paris : 33(0) 1 40 05 48 48 – Angers : 33 (0)2 41 48 21 21 Bordeaux : 33 (0)5 56 96 40 80  </w:t>
      </w:r>
    </w:p>
    <w:p w14:paraId="3B021438" w14:textId="77777777" w:rsidR="00AF6BC0" w:rsidRDefault="00AF6BC0" w:rsidP="00AF6BC0">
      <w:pPr>
        <w:spacing w:after="5" w:line="248" w:lineRule="auto"/>
        <w:ind w:left="-5" w:right="2909"/>
      </w:pPr>
      <w:r>
        <w:rPr>
          <w:color w:val="000000"/>
          <w:sz w:val="20"/>
        </w:rPr>
        <w:t xml:space="preserve">Lille : 0 825 812 822 Lyon : 33 (0)3 4 72 11 69 11 Marseille : 33(0) 4 91 75 25 25  </w:t>
      </w:r>
    </w:p>
    <w:p w14:paraId="59CE75D1" w14:textId="77777777" w:rsidR="00AF6BC0" w:rsidRDefault="00AF6BC0" w:rsidP="00AF6BC0">
      <w:pPr>
        <w:spacing w:after="5" w:line="248" w:lineRule="auto"/>
        <w:ind w:left="-5" w:right="2909"/>
      </w:pPr>
      <w:r>
        <w:rPr>
          <w:color w:val="000000"/>
          <w:sz w:val="20"/>
        </w:rPr>
        <w:t xml:space="preserve">Nancy : 33 (0)3 83 32 36 36 Rennes : 33 (0)2 99 59 22 22 Strasbourg : 33 (0)3 88 37 37 </w:t>
      </w:r>
      <w:proofErr w:type="gramStart"/>
      <w:r>
        <w:rPr>
          <w:color w:val="000000"/>
          <w:sz w:val="20"/>
        </w:rPr>
        <w:t>37  Toulouse</w:t>
      </w:r>
      <w:proofErr w:type="gramEnd"/>
      <w:r>
        <w:rPr>
          <w:color w:val="000000"/>
          <w:sz w:val="20"/>
        </w:rPr>
        <w:t xml:space="preserve"> : 33 (0)5 61 77 74 47  </w:t>
      </w:r>
    </w:p>
    <w:p w14:paraId="608ACC15" w14:textId="77777777" w:rsidR="00AF6BC0" w:rsidRDefault="00AF6BC0" w:rsidP="00AF6BC0">
      <w:pPr>
        <w:spacing w:after="0" w:line="259" w:lineRule="auto"/>
        <w:ind w:left="0" w:firstLine="0"/>
      </w:pPr>
      <w:r>
        <w:rPr>
          <w:i/>
          <w:color w:val="000000"/>
          <w:sz w:val="20"/>
        </w:rPr>
        <w:t xml:space="preserve">Centres de Toxicovigilance : GRENOBLE – REIMS – ROUEN </w:t>
      </w:r>
      <w:r>
        <w:rPr>
          <w:color w:val="000000"/>
          <w:sz w:val="20"/>
        </w:rPr>
        <w:t xml:space="preserve"> </w:t>
      </w:r>
    </w:p>
    <w:p w14:paraId="6A2DDEF4" w14:textId="0D442426" w:rsidR="00AF6BC0" w:rsidRDefault="00AF6BC0" w:rsidP="00AF6BC0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u w:val="single" w:color="00000A"/>
        </w:rPr>
        <w:t>IDENTIFICATION DES DANGERS</w:t>
      </w:r>
      <w:r>
        <w:t xml:space="preserve"> </w:t>
      </w:r>
    </w:p>
    <w:p w14:paraId="7CCF1559" w14:textId="77777777" w:rsidR="00AF6BC0" w:rsidRDefault="00AF6BC0" w:rsidP="00AF6BC0">
      <w:pPr>
        <w:spacing w:after="171" w:line="259" w:lineRule="auto"/>
        <w:ind w:left="-5"/>
      </w:pPr>
      <w:r>
        <w:rPr>
          <w:b/>
        </w:rPr>
        <w:t xml:space="preserve">2.1.- Classification de la substance ou du mélange : </w:t>
      </w:r>
    </w:p>
    <w:p w14:paraId="6BD93840" w14:textId="77777777" w:rsidR="00837E70" w:rsidRDefault="00837E70" w:rsidP="00837E7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2.1 Classification selon la Directive 67/548/EEC [DSD] : </w:t>
      </w:r>
      <w:r>
        <w:rPr>
          <w:rFonts w:ascii="TimesNewRomanPSMT" w:hAnsi="TimesNewRomanPSMT"/>
          <w:sz w:val="20"/>
          <w:szCs w:val="20"/>
        </w:rPr>
        <w:t xml:space="preserve">produit non classé comme dangereux. </w:t>
      </w:r>
      <w:r>
        <w:rPr>
          <w:rFonts w:ascii="TimesNewRomanPS" w:hAnsi="TimesNewRomanPS"/>
          <w:b/>
          <w:bCs/>
          <w:sz w:val="20"/>
          <w:szCs w:val="20"/>
        </w:rPr>
        <w:t xml:space="preserve">2.2.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Etiquetage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selon le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Règlement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(EU) No 2020/</w:t>
      </w:r>
      <w:proofErr w:type="gramStart"/>
      <w:r>
        <w:rPr>
          <w:rFonts w:ascii="TimesNewRomanPS" w:hAnsi="TimesNewRomanPS"/>
          <w:b/>
          <w:bCs/>
          <w:sz w:val="20"/>
          <w:szCs w:val="20"/>
        </w:rPr>
        <w:t>878: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</w:t>
      </w:r>
    </w:p>
    <w:p w14:paraId="074FE57E" w14:textId="77777777" w:rsidR="00837E70" w:rsidRDefault="00837E70" w:rsidP="00837E70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Conseil de prudence : appeler un centre antipoison / un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 en cas de malaise. </w:t>
      </w:r>
    </w:p>
    <w:p w14:paraId="2F72E7F3" w14:textId="6F2D1E00" w:rsidR="00AF6BC0" w:rsidRDefault="00AF6BC0" w:rsidP="00AF6BC0">
      <w:pPr>
        <w:spacing w:after="205"/>
        <w:ind w:left="-5"/>
      </w:pPr>
    </w:p>
    <w:p w14:paraId="39DA6F96" w14:textId="2DF34400" w:rsidR="00AF6BC0" w:rsidRDefault="00AF6BC0" w:rsidP="009A25C4">
      <w:pPr>
        <w:pStyle w:val="Paragraphedeliste"/>
        <w:numPr>
          <w:ilvl w:val="0"/>
          <w:numId w:val="9"/>
        </w:numPr>
        <w:spacing w:after="0" w:line="259" w:lineRule="auto"/>
      </w:pPr>
      <w:r w:rsidRPr="009A25C4">
        <w:rPr>
          <w:b/>
          <w:sz w:val="21"/>
          <w:u w:val="single" w:color="00000A"/>
        </w:rPr>
        <w:t>COMPOSITION/INFORMATION SUR LES COMPOSANTS</w:t>
      </w:r>
      <w:r w:rsidRPr="009A25C4">
        <w:rPr>
          <w:sz w:val="21"/>
        </w:rPr>
        <w:t xml:space="preserve"> </w:t>
      </w:r>
    </w:p>
    <w:p w14:paraId="0BF7AAEE" w14:textId="77777777" w:rsidR="00AF6BC0" w:rsidRDefault="00AF6BC0" w:rsidP="00AF6BC0">
      <w:pPr>
        <w:spacing w:after="17" w:line="259" w:lineRule="auto"/>
        <w:ind w:left="120" w:firstLine="0"/>
      </w:pPr>
      <w:r>
        <w:rPr>
          <w:sz w:val="20"/>
        </w:rPr>
        <w:t xml:space="preserve"> </w:t>
      </w:r>
    </w:p>
    <w:p w14:paraId="2B91FA5D" w14:textId="1133E6F7" w:rsidR="009A25C4" w:rsidRDefault="009A25C4" w:rsidP="009A25C4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N° CAS </w:t>
      </w:r>
      <w:r>
        <w:rPr>
          <w:rFonts w:ascii="TimesNewRomanPS" w:hAnsi="TimesNewRomanPS"/>
          <w:b/>
          <w:bCs/>
          <w:sz w:val="20"/>
          <w:szCs w:val="20"/>
        </w:rPr>
        <w:tab/>
      </w:r>
      <w:r>
        <w:rPr>
          <w:rFonts w:ascii="TimesNewRomanPS" w:hAnsi="TimesNewRomanPS"/>
          <w:b/>
          <w:bCs/>
          <w:sz w:val="20"/>
          <w:szCs w:val="20"/>
        </w:rPr>
        <w:tab/>
      </w:r>
      <w:r>
        <w:rPr>
          <w:rFonts w:ascii="TimesNewRomanPS" w:hAnsi="TimesNewRomanPS"/>
          <w:b/>
          <w:bCs/>
          <w:sz w:val="20"/>
          <w:szCs w:val="20"/>
        </w:rPr>
        <w:t xml:space="preserve">N° EINECS </w:t>
      </w:r>
    </w:p>
    <w:p w14:paraId="1A3E7F14" w14:textId="7111FDB5" w:rsidR="009A25C4" w:rsidRDefault="009A25C4" w:rsidP="009A25C4">
      <w:pPr>
        <w:pStyle w:val="NormalWeb"/>
      </w:pPr>
      <w:r>
        <w:rPr>
          <w:rFonts w:ascii="TimesNewRomanPSMT" w:hAnsi="TimesNewRomanPSMT"/>
        </w:rPr>
        <w:t xml:space="preserve">67701-03-5 </w:t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 xml:space="preserve">266-928-5 </w:t>
      </w:r>
    </w:p>
    <w:p w14:paraId="551F7FCE" w14:textId="0C8F6F11" w:rsidR="00AF6BC0" w:rsidRDefault="00AF6BC0" w:rsidP="00AF6BC0">
      <w:pPr>
        <w:spacing w:after="207" w:line="259" w:lineRule="auto"/>
        <w:ind w:left="0" w:firstLine="0"/>
      </w:pPr>
    </w:p>
    <w:p w14:paraId="557783F4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4. PREMIERS SECOURS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650E199B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4.1 Description des premiers secours : </w:t>
      </w:r>
    </w:p>
    <w:p w14:paraId="68F933B6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>4.1.1 Inhalation :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Éliminer</w:t>
      </w:r>
      <w:proofErr w:type="spellEnd"/>
      <w:r>
        <w:rPr>
          <w:rFonts w:ascii="TimesNewRomanPSMT" w:hAnsi="TimesNewRomanPSMT"/>
          <w:sz w:val="20"/>
          <w:szCs w:val="20"/>
        </w:rPr>
        <w:t xml:space="preserve"> la source de contamination ou faire </w:t>
      </w:r>
      <w:proofErr w:type="spellStart"/>
      <w:r>
        <w:rPr>
          <w:rFonts w:ascii="TimesNewRomanPSMT" w:hAnsi="TimesNewRomanPSMT"/>
          <w:sz w:val="20"/>
          <w:szCs w:val="20"/>
        </w:rPr>
        <w:t>déplacer</w:t>
      </w:r>
      <w:proofErr w:type="spellEnd"/>
      <w:r>
        <w:rPr>
          <w:rFonts w:ascii="TimesNewRomanPSMT" w:hAnsi="TimesNewRomanPSMT"/>
          <w:sz w:val="20"/>
          <w:szCs w:val="20"/>
        </w:rPr>
        <w:t xml:space="preserve"> la victime à l'air frais. Si l'</w:t>
      </w:r>
      <w:proofErr w:type="spellStart"/>
      <w:r>
        <w:rPr>
          <w:rFonts w:ascii="TimesNewRomanPSMT" w:hAnsi="TimesNewRomanPSMT"/>
          <w:sz w:val="20"/>
          <w:szCs w:val="20"/>
        </w:rPr>
        <w:t>étouffement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est grave, consulter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un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3B41B63E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>4.1.2 Contact avec la peau :</w:t>
      </w:r>
      <w:r>
        <w:rPr>
          <w:rFonts w:ascii="TimesNewRomanPSMT" w:hAnsi="TimesNewRomanPSMT"/>
          <w:sz w:val="20"/>
          <w:szCs w:val="20"/>
        </w:rPr>
        <w:br/>
        <w:t xml:space="preserve">Enlever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tous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contaminés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. Rincer la peau avec de l'eau / une douche. Obtenir des soins </w:t>
      </w:r>
      <w:proofErr w:type="spellStart"/>
      <w:r>
        <w:rPr>
          <w:rFonts w:ascii="TimesNewRomanPSMT" w:hAnsi="TimesNewRomanPSMT"/>
          <w:sz w:val="20"/>
          <w:szCs w:val="20"/>
        </w:rPr>
        <w:t>médicaux</w:t>
      </w:r>
      <w:proofErr w:type="spellEnd"/>
      <w:r>
        <w:rPr>
          <w:rFonts w:ascii="TimesNewRomanPSMT" w:hAnsi="TimesNewRomanPSMT"/>
          <w:sz w:val="20"/>
          <w:szCs w:val="20"/>
        </w:rPr>
        <w:t xml:space="preserve">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62F93C4B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>4.1.3 Contact avec les yeux :</w:t>
      </w:r>
      <w:r>
        <w:rPr>
          <w:rFonts w:ascii="TimesNewRomanPSMT" w:hAnsi="TimesNewRomanPSMT"/>
          <w:sz w:val="20"/>
          <w:szCs w:val="20"/>
        </w:rPr>
        <w:br/>
        <w:t xml:space="preserve">Rincer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l'œil contaminé à l'eau courante pendant plusieurs minutes. Obtenir des soins </w:t>
      </w:r>
      <w:proofErr w:type="spellStart"/>
      <w:r>
        <w:rPr>
          <w:rFonts w:ascii="TimesNewRomanPSMT" w:hAnsi="TimesNewRomanPSMT"/>
          <w:sz w:val="20"/>
          <w:szCs w:val="20"/>
        </w:rPr>
        <w:t>médicaux</w:t>
      </w:r>
      <w:proofErr w:type="spellEnd"/>
      <w:r>
        <w:rPr>
          <w:rFonts w:ascii="TimesNewRomanPSMT" w:hAnsi="TimesNewRomanPSMT"/>
          <w:sz w:val="20"/>
          <w:szCs w:val="20"/>
        </w:rPr>
        <w:t xml:space="preserve">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0E8AE5F0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>4.1.4 Ingestion :</w:t>
      </w:r>
      <w:r>
        <w:rPr>
          <w:rFonts w:ascii="TimesNewRomanPSMT" w:hAnsi="TimesNewRomanPSMT"/>
          <w:sz w:val="20"/>
          <w:szCs w:val="20"/>
        </w:rPr>
        <w:br/>
        <w:t xml:space="preserve">En cas d'ingestion, ne pas faire vomir. Rincer la bouche, boire beaucoup d'eau. Obtenir des soins </w:t>
      </w:r>
      <w:proofErr w:type="spellStart"/>
      <w:r>
        <w:rPr>
          <w:rFonts w:ascii="TimesNewRomanPSMT" w:hAnsi="TimesNewRomanPSMT"/>
          <w:sz w:val="20"/>
          <w:szCs w:val="20"/>
        </w:rPr>
        <w:t>médicaux</w:t>
      </w:r>
      <w:proofErr w:type="spellEnd"/>
      <w:r>
        <w:rPr>
          <w:rFonts w:ascii="TimesNewRomanPSMT" w:hAnsi="TimesNewRomanPSMT"/>
          <w:sz w:val="20"/>
          <w:szCs w:val="20"/>
        </w:rPr>
        <w:t xml:space="preserve">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Ne jamais donner quoi que ce soit par voie orale à une personne inconsciente. </w:t>
      </w:r>
    </w:p>
    <w:p w14:paraId="01A3CFC1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>4.1.5 Protection des secouristes :</w:t>
      </w:r>
      <w:r>
        <w:rPr>
          <w:rFonts w:ascii="TimesNewRomanPSMT" w:hAnsi="TimesNewRomanPSMT"/>
          <w:sz w:val="20"/>
          <w:szCs w:val="20"/>
        </w:rPr>
        <w:br/>
        <w:t xml:space="preserve">Aucune initiative qui implique un risque individuel ou en l'absence de formation </w:t>
      </w:r>
      <w:proofErr w:type="spellStart"/>
      <w:r>
        <w:rPr>
          <w:rFonts w:ascii="TimesNewRomanPSMT" w:hAnsi="TimesNewRomanPSMT"/>
          <w:sz w:val="20"/>
          <w:szCs w:val="20"/>
        </w:rPr>
        <w:t>appropriée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ne doit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prise. </w:t>
      </w:r>
    </w:p>
    <w:p w14:paraId="0465CEFF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4.2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Symptômes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effets les plus importants, aigus et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différés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50C2C2BC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Aucun effet significatif ou danger critique. </w:t>
      </w:r>
    </w:p>
    <w:p w14:paraId="5AB5912E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4.3 Indication des soins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médicaux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immédiats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traitements particuliers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nécessaires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028F8302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4.3.1 Avis au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 : Traiter de </w:t>
      </w:r>
      <w:proofErr w:type="spellStart"/>
      <w:r>
        <w:rPr>
          <w:rFonts w:ascii="TimesNewRomanPSMT" w:hAnsi="TimesNewRomanPSMT"/>
          <w:sz w:val="20"/>
          <w:szCs w:val="20"/>
        </w:rPr>
        <w:t>façon</w:t>
      </w:r>
      <w:proofErr w:type="spellEnd"/>
      <w:r>
        <w:rPr>
          <w:rFonts w:ascii="TimesNewRomanPSMT" w:hAnsi="TimesNewRomanPSMT"/>
          <w:sz w:val="20"/>
          <w:szCs w:val="20"/>
        </w:rPr>
        <w:t xml:space="preserve"> symptomatique. Contacter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un </w:t>
      </w:r>
      <w:proofErr w:type="spellStart"/>
      <w:r>
        <w:rPr>
          <w:rFonts w:ascii="TimesNewRomanPSMT" w:hAnsi="TimesNewRomanPSMT"/>
          <w:sz w:val="20"/>
          <w:szCs w:val="20"/>
        </w:rPr>
        <w:t>spécialiste</w:t>
      </w:r>
      <w:proofErr w:type="spellEnd"/>
      <w:r>
        <w:rPr>
          <w:rFonts w:ascii="TimesNewRomanPSMT" w:hAnsi="TimesNewRomanPSMT"/>
          <w:sz w:val="20"/>
          <w:szCs w:val="20"/>
        </w:rPr>
        <w:t xml:space="preserve"> du traitement antipoison si de grandes quantité</w:t>
      </w:r>
      <w:proofErr w:type="spellStart"/>
      <w:r>
        <w:rPr>
          <w:rFonts w:ascii="TimesNewRomanPSMT" w:hAnsi="TimesNewRomanPSMT"/>
          <w:sz w:val="20"/>
          <w:szCs w:val="20"/>
        </w:rPr>
        <w:t>s ont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éte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</w:t>
      </w:r>
      <w:proofErr w:type="spellStart"/>
      <w:r>
        <w:rPr>
          <w:rFonts w:ascii="TimesNewRomanPSMT" w:hAnsi="TimesNewRomanPSMT"/>
          <w:sz w:val="20"/>
          <w:szCs w:val="20"/>
        </w:rPr>
        <w:t>ingérées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ou </w:t>
      </w:r>
      <w:proofErr w:type="spellStart"/>
      <w:r>
        <w:rPr>
          <w:rFonts w:ascii="TimesNewRomanPSMT" w:hAnsi="TimesNewRomanPSMT"/>
          <w:sz w:val="20"/>
          <w:szCs w:val="20"/>
        </w:rPr>
        <w:t>inhalées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56A1896A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4.3.2 Traitement </w:t>
      </w:r>
      <w:proofErr w:type="spellStart"/>
      <w:r>
        <w:rPr>
          <w:rFonts w:ascii="TimesNewRomanPSMT" w:hAnsi="TimesNewRomanPSMT"/>
          <w:sz w:val="20"/>
          <w:szCs w:val="20"/>
        </w:rPr>
        <w:t>spécifique</w:t>
      </w:r>
      <w:proofErr w:type="spellEnd"/>
      <w:r>
        <w:rPr>
          <w:rFonts w:ascii="TimesNewRomanPSMT" w:hAnsi="TimesNewRomanPSMT"/>
          <w:sz w:val="20"/>
          <w:szCs w:val="20"/>
        </w:rPr>
        <w:t xml:space="preserve"> : Pas de traitement </w:t>
      </w:r>
      <w:proofErr w:type="spellStart"/>
      <w:r>
        <w:rPr>
          <w:rFonts w:ascii="TimesNewRomanPSMT" w:hAnsi="TimesNewRomanPSMT"/>
          <w:sz w:val="20"/>
          <w:szCs w:val="20"/>
        </w:rPr>
        <w:t>spécifique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5. MESURES DE LUTTE CONTRE L’INCENDIE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0E218F5D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5.1 Moyens d’extinction : </w:t>
      </w:r>
    </w:p>
    <w:p w14:paraId="3885A3D3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Poudre </w:t>
      </w:r>
      <w:proofErr w:type="spellStart"/>
      <w:r>
        <w:rPr>
          <w:rFonts w:ascii="TimesNewRomanPSMT" w:hAnsi="TimesNewRomanPSMT"/>
          <w:sz w:val="20"/>
          <w:szCs w:val="20"/>
        </w:rPr>
        <w:t>sèche</w:t>
      </w:r>
      <w:proofErr w:type="spellEnd"/>
      <w:r>
        <w:rPr>
          <w:rFonts w:ascii="TimesNewRomanPSMT" w:hAnsi="TimesNewRomanPSMT"/>
          <w:sz w:val="20"/>
          <w:szCs w:val="20"/>
        </w:rPr>
        <w:t xml:space="preserve"> – Dioxyde de carbone (CO</w:t>
      </w:r>
      <w:r>
        <w:rPr>
          <w:rFonts w:ascii="TimesNewRomanPSMT" w:hAnsi="TimesNewRomanPSMT"/>
          <w:position w:val="-2"/>
          <w:sz w:val="12"/>
          <w:szCs w:val="12"/>
        </w:rPr>
        <w:t>2</w:t>
      </w:r>
      <w:r>
        <w:rPr>
          <w:rFonts w:ascii="TimesNewRomanPSMT" w:hAnsi="TimesNewRomanPSMT"/>
          <w:sz w:val="20"/>
          <w:szCs w:val="20"/>
        </w:rPr>
        <w:t xml:space="preserve">) </w:t>
      </w:r>
    </w:p>
    <w:p w14:paraId="79EAA29A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5.2 Danger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spécifique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résultant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 la substance : </w:t>
      </w:r>
    </w:p>
    <w:p w14:paraId="396CDCB1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La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thermique peut </w:t>
      </w:r>
      <w:proofErr w:type="spellStart"/>
      <w:r>
        <w:rPr>
          <w:rFonts w:ascii="TimesNewRomanPSMT" w:hAnsi="TimesNewRomanPSMT"/>
          <w:sz w:val="20"/>
          <w:szCs w:val="20"/>
        </w:rPr>
        <w:t>émettre</w:t>
      </w:r>
      <w:proofErr w:type="spell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fumées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toxiques de monoxyde de carbone </w:t>
      </w:r>
    </w:p>
    <w:p w14:paraId="205B379D" w14:textId="77777777" w:rsidR="00D0628D" w:rsidRDefault="00D0628D" w:rsidP="00D0628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5.3 Conseils aux pompiers : </w:t>
      </w:r>
    </w:p>
    <w:p w14:paraId="6671362F" w14:textId="77777777" w:rsidR="00D0628D" w:rsidRDefault="00D0628D" w:rsidP="00D0628D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Porter un </w:t>
      </w:r>
      <w:proofErr w:type="spellStart"/>
      <w:r>
        <w:rPr>
          <w:rFonts w:ascii="TimesNewRomanPSMT" w:hAnsi="TimesNewRomanPSMT"/>
          <w:sz w:val="20"/>
          <w:szCs w:val="20"/>
        </w:rPr>
        <w:t>équipement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approprié et un appareil respiratoire autonome (ARA) avec masque </w:t>
      </w:r>
      <w:proofErr w:type="spellStart"/>
      <w:r>
        <w:rPr>
          <w:rFonts w:ascii="TimesNewRomanPSMT" w:hAnsi="TimesNewRomanPSMT"/>
          <w:sz w:val="20"/>
          <w:szCs w:val="20"/>
        </w:rPr>
        <w:t>intégral</w:t>
      </w:r>
      <w:proofErr w:type="spellEnd"/>
      <w:r>
        <w:rPr>
          <w:rFonts w:ascii="TimesNewRomanPSMT" w:hAnsi="TimesNewRomanPSMT"/>
          <w:sz w:val="20"/>
          <w:szCs w:val="20"/>
        </w:rPr>
        <w:t xml:space="preserve"> en mode de pression positive. </w:t>
      </w:r>
    </w:p>
    <w:p w14:paraId="4ABCF026" w14:textId="3C314ACC" w:rsidR="00AF6BC0" w:rsidRDefault="00AF6BC0" w:rsidP="00AF6BC0">
      <w:pPr>
        <w:spacing w:after="18" w:line="259" w:lineRule="auto"/>
        <w:ind w:left="0" w:firstLine="0"/>
      </w:pPr>
    </w:p>
    <w:p w14:paraId="6C1592E8" w14:textId="77777777" w:rsidR="00192A5E" w:rsidRDefault="00192A5E" w:rsidP="00AF6BC0">
      <w:pPr>
        <w:spacing w:after="18" w:line="259" w:lineRule="auto"/>
        <w:ind w:left="0" w:firstLine="0"/>
      </w:pPr>
    </w:p>
    <w:p w14:paraId="4AAFD831" w14:textId="77777777" w:rsidR="00192A5E" w:rsidRDefault="00192A5E" w:rsidP="00AF6BC0">
      <w:pPr>
        <w:spacing w:after="18" w:line="259" w:lineRule="auto"/>
        <w:ind w:left="0" w:firstLine="0"/>
      </w:pPr>
    </w:p>
    <w:p w14:paraId="109A1B1F" w14:textId="77777777" w:rsidR="00192A5E" w:rsidRDefault="00192A5E" w:rsidP="00AF6BC0">
      <w:pPr>
        <w:spacing w:after="18" w:line="259" w:lineRule="auto"/>
        <w:ind w:left="0" w:firstLine="0"/>
      </w:pPr>
    </w:p>
    <w:p w14:paraId="59469991" w14:textId="77777777" w:rsidR="001A6B20" w:rsidRDefault="001A6B20" w:rsidP="001A6B2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lastRenderedPageBreak/>
        <w:t xml:space="preserve">6. MESURES A PRENDRE EN CAS DE DISPERSION ACCIDENTELLE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047E3655" w14:textId="77777777" w:rsidR="001A6B20" w:rsidRDefault="001A6B20" w:rsidP="001A6B2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6.1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Précautions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individuelles,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équipement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 protection et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procédures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d’urgence : </w:t>
      </w:r>
    </w:p>
    <w:p w14:paraId="78F70882" w14:textId="77777777" w:rsidR="001A6B20" w:rsidRDefault="001A6B20" w:rsidP="001A6B20">
      <w:pPr>
        <w:pStyle w:val="NormalWeb"/>
        <w:numPr>
          <w:ilvl w:val="0"/>
          <w:numId w:val="10"/>
        </w:numPr>
      </w:pPr>
      <w:proofErr w:type="gramStart"/>
      <w:r>
        <w:rPr>
          <w:rFonts w:ascii="TimesNewRomanPSMT" w:hAnsi="TimesNewRomanPSMT"/>
          <w:sz w:val="20"/>
          <w:szCs w:val="20"/>
        </w:rPr>
        <w:t>6.1.1  Pour</w:t>
      </w:r>
      <w:proofErr w:type="gramEnd"/>
      <w:r>
        <w:rPr>
          <w:rFonts w:ascii="TimesNewRomanPSMT" w:hAnsi="TimesNewRomanPSMT"/>
          <w:sz w:val="20"/>
          <w:szCs w:val="20"/>
        </w:rPr>
        <w:t xml:space="preserve"> le personnel non urgentiste :</w:t>
      </w:r>
      <w:r>
        <w:rPr>
          <w:rFonts w:ascii="TimesNewRomanPSMT" w:hAnsi="TimesNewRomanPSMT"/>
          <w:sz w:val="20"/>
          <w:szCs w:val="20"/>
        </w:rPr>
        <w:br/>
        <w:t xml:space="preserve">Aucune action ne doit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entreprise impliquant un risque personnel ou sans formation </w:t>
      </w:r>
      <w:proofErr w:type="spellStart"/>
      <w:r>
        <w:rPr>
          <w:rFonts w:ascii="TimesNewRomanPSMT" w:hAnsi="TimesNewRomanPSMT"/>
          <w:sz w:val="20"/>
          <w:szCs w:val="20"/>
        </w:rPr>
        <w:t>appropriée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  <w:proofErr w:type="spellStart"/>
      <w:r>
        <w:rPr>
          <w:rFonts w:ascii="TimesNewRomanPSMT" w:hAnsi="TimesNewRomanPSMT"/>
          <w:sz w:val="20"/>
          <w:szCs w:val="20"/>
        </w:rPr>
        <w:t>Évacuer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zones environnantes. Garder le personnel inutile et non </w:t>
      </w:r>
      <w:proofErr w:type="spellStart"/>
      <w:r>
        <w:rPr>
          <w:rFonts w:ascii="TimesNewRomanPSMT" w:hAnsi="TimesNewRomanPSMT"/>
          <w:sz w:val="20"/>
          <w:szCs w:val="20"/>
        </w:rPr>
        <w:t>protége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d'entrer. Ne pas toucher et ne pas marcher à travers le </w:t>
      </w:r>
      <w:proofErr w:type="spellStart"/>
      <w:r>
        <w:rPr>
          <w:rFonts w:ascii="TimesNewRomanPSMT" w:hAnsi="TimesNewRomanPSMT"/>
          <w:sz w:val="20"/>
          <w:szCs w:val="20"/>
        </w:rPr>
        <w:t>matériau</w:t>
      </w:r>
      <w:proofErr w:type="spellEnd"/>
      <w:r>
        <w:rPr>
          <w:rFonts w:ascii="TimesNewRomanPSMT" w:hAnsi="TimesNewRomanPSMT"/>
          <w:sz w:val="20"/>
          <w:szCs w:val="20"/>
        </w:rPr>
        <w:t xml:space="preserve"> fendu. Porter un </w:t>
      </w:r>
      <w:proofErr w:type="spellStart"/>
      <w:r>
        <w:rPr>
          <w:rFonts w:ascii="TimesNewRomanPSMT" w:hAnsi="TimesNewRomanPSMT"/>
          <w:sz w:val="20"/>
          <w:szCs w:val="20"/>
        </w:rPr>
        <w:t>équipement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individuelle. </w:t>
      </w:r>
    </w:p>
    <w:p w14:paraId="380E54D2" w14:textId="77777777" w:rsidR="001A6B20" w:rsidRDefault="001A6B20" w:rsidP="001A6B20">
      <w:pPr>
        <w:pStyle w:val="NormalWeb"/>
        <w:numPr>
          <w:ilvl w:val="0"/>
          <w:numId w:val="10"/>
        </w:numPr>
      </w:pPr>
      <w:proofErr w:type="gramStart"/>
      <w:r>
        <w:rPr>
          <w:rFonts w:ascii="TimesNewRomanPSMT" w:hAnsi="TimesNewRomanPSMT"/>
          <w:sz w:val="20"/>
          <w:szCs w:val="20"/>
        </w:rPr>
        <w:t>6.1.2  Pour</w:t>
      </w:r>
      <w:proofErr w:type="gramEnd"/>
      <w:r>
        <w:rPr>
          <w:rFonts w:ascii="TimesNewRomanPSMT" w:hAnsi="TimesNewRomanPSMT"/>
          <w:sz w:val="20"/>
          <w:szCs w:val="20"/>
        </w:rPr>
        <w:t xml:space="preserve"> les secouristes :</w:t>
      </w:r>
      <w:r>
        <w:rPr>
          <w:rFonts w:ascii="TimesNewRomanPSMT" w:hAnsi="TimesNewRomanPSMT"/>
          <w:sz w:val="20"/>
          <w:szCs w:val="20"/>
        </w:rPr>
        <w:br/>
        <w:t xml:space="preserve">Utiliser un </w:t>
      </w:r>
      <w:proofErr w:type="spellStart"/>
      <w:r>
        <w:rPr>
          <w:rFonts w:ascii="TimesNewRomanPSMT" w:hAnsi="TimesNewRomanPSMT"/>
          <w:sz w:val="20"/>
          <w:szCs w:val="20"/>
        </w:rPr>
        <w:t>équipement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approprié. </w:t>
      </w:r>
    </w:p>
    <w:p w14:paraId="18D8BDDB" w14:textId="77777777" w:rsidR="001A6B20" w:rsidRDefault="001A6B20" w:rsidP="001A6B2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6.2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Précautions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environnementales : </w:t>
      </w:r>
    </w:p>
    <w:p w14:paraId="4DF82B90" w14:textId="77777777" w:rsidR="001A6B20" w:rsidRDefault="001A6B20" w:rsidP="001A6B20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la dispersion des </w:t>
      </w:r>
      <w:proofErr w:type="spellStart"/>
      <w:r>
        <w:rPr>
          <w:rFonts w:ascii="TimesNewRomanPSMT" w:hAnsi="TimesNewRomanPSMT"/>
          <w:sz w:val="20"/>
          <w:szCs w:val="20"/>
        </w:rPr>
        <w:t>matériaux</w:t>
      </w:r>
      <w:proofErr w:type="spellEnd"/>
      <w:r>
        <w:rPr>
          <w:rFonts w:ascii="TimesNewRomanPSMT" w:hAnsi="TimesNewRomanPSMT"/>
          <w:sz w:val="20"/>
          <w:szCs w:val="20"/>
        </w:rPr>
        <w:t xml:space="preserve">, ainsi que leur </w:t>
      </w:r>
      <w:proofErr w:type="spellStart"/>
      <w:r>
        <w:rPr>
          <w:rFonts w:ascii="TimesNewRomanPSMT" w:hAnsi="TimesNewRomanPSMT"/>
          <w:sz w:val="20"/>
          <w:szCs w:val="20"/>
        </w:rPr>
        <w:t>écoulement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et tout contact avec le sol, les voies navigables, les drains et les </w:t>
      </w:r>
    </w:p>
    <w:p w14:paraId="44AC0536" w14:textId="77777777" w:rsidR="001A6B20" w:rsidRDefault="001A6B20" w:rsidP="001A6B20">
      <w:pPr>
        <w:pStyle w:val="NormalWeb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égouts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. </w:t>
      </w:r>
    </w:p>
    <w:p w14:paraId="1650B08D" w14:textId="77777777" w:rsidR="001A6B20" w:rsidRDefault="001A6B20" w:rsidP="001A6B2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6.3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Méthodes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matériel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 confinement et de nettoyage : </w:t>
      </w:r>
    </w:p>
    <w:p w14:paraId="3091D316" w14:textId="77777777" w:rsidR="001A6B20" w:rsidRDefault="001A6B20" w:rsidP="001A6B20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Pour les </w:t>
      </w:r>
      <w:proofErr w:type="spellStart"/>
      <w:r>
        <w:rPr>
          <w:rFonts w:ascii="TimesNewRomanPSMT" w:hAnsi="TimesNewRomanPSMT"/>
          <w:sz w:val="20"/>
          <w:szCs w:val="20"/>
        </w:rPr>
        <w:t>déversements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liquide, absorber avec du sable ou un autre </w:t>
      </w:r>
      <w:proofErr w:type="spellStart"/>
      <w:r>
        <w:rPr>
          <w:rFonts w:ascii="TimesNewRomanPSMT" w:hAnsi="TimesNewRomanPSMT"/>
          <w:sz w:val="20"/>
          <w:szCs w:val="20"/>
        </w:rPr>
        <w:t>matériau</w:t>
      </w:r>
      <w:proofErr w:type="spellEnd"/>
      <w:r>
        <w:rPr>
          <w:rFonts w:ascii="TimesNewRomanPSMT" w:hAnsi="TimesNewRomanPSMT"/>
          <w:sz w:val="20"/>
          <w:szCs w:val="20"/>
        </w:rPr>
        <w:t xml:space="preserve"> non combustible et </w:t>
      </w:r>
      <w:proofErr w:type="spellStart"/>
      <w:r>
        <w:rPr>
          <w:rFonts w:ascii="TimesNewRomanPSMT" w:hAnsi="TimesNewRomanPSMT"/>
          <w:sz w:val="20"/>
          <w:szCs w:val="20"/>
        </w:rPr>
        <w:t>transférer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un conteneur pour </w:t>
      </w:r>
      <w:proofErr w:type="spellStart"/>
      <w:r>
        <w:rPr>
          <w:rFonts w:ascii="TimesNewRomanPSMT" w:hAnsi="TimesNewRomanPSMT"/>
          <w:sz w:val="20"/>
          <w:szCs w:val="20"/>
        </w:rPr>
        <w:t>élimination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Peut </w:t>
      </w:r>
      <w:proofErr w:type="spellStart"/>
      <w:r>
        <w:rPr>
          <w:rFonts w:ascii="TimesNewRomanPSMT" w:hAnsi="TimesNewRomanPSMT"/>
          <w:sz w:val="20"/>
          <w:szCs w:val="20"/>
        </w:rPr>
        <w:t>également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permettre au </w:t>
      </w:r>
      <w:proofErr w:type="spellStart"/>
      <w:r>
        <w:rPr>
          <w:rFonts w:ascii="TimesNewRomanPSMT" w:hAnsi="TimesNewRomanPSMT"/>
          <w:sz w:val="20"/>
          <w:szCs w:val="20"/>
        </w:rPr>
        <w:t>déversement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se solidifier, puis balayer ou pelleter dans le conteneur. </w:t>
      </w:r>
      <w:proofErr w:type="spellStart"/>
      <w:r>
        <w:rPr>
          <w:rFonts w:ascii="TimesNewRomanPSMT" w:hAnsi="TimesNewRomanPSMT"/>
          <w:sz w:val="20"/>
          <w:szCs w:val="20"/>
        </w:rPr>
        <w:t>Éliminer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conformément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la </w:t>
      </w:r>
      <w:proofErr w:type="spellStart"/>
      <w:r>
        <w:rPr>
          <w:rFonts w:ascii="TimesNewRomanPSMT" w:hAnsi="TimesNewRomanPSMT"/>
          <w:sz w:val="20"/>
          <w:szCs w:val="20"/>
        </w:rPr>
        <w:t>réglementation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locale. </w:t>
      </w:r>
    </w:p>
    <w:p w14:paraId="655BBFDE" w14:textId="77777777" w:rsidR="001A6B20" w:rsidRDefault="001A6B20" w:rsidP="001A6B2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6.4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Référence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à d'autres sections : </w:t>
      </w:r>
    </w:p>
    <w:p w14:paraId="0BDC8F6D" w14:textId="77777777" w:rsidR="001A6B20" w:rsidRDefault="001A6B20" w:rsidP="001A6B20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Voir la section 1 pour les </w:t>
      </w:r>
      <w:proofErr w:type="spellStart"/>
      <w:r>
        <w:rPr>
          <w:rFonts w:ascii="TimesNewRomanPSMT" w:hAnsi="TimesNewRomanPSMT"/>
          <w:sz w:val="20"/>
          <w:szCs w:val="20"/>
        </w:rPr>
        <w:t>coordonnées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d'urgence.</w:t>
      </w:r>
      <w:r>
        <w:rPr>
          <w:rFonts w:ascii="TimesNewRomanPSMT" w:hAnsi="TimesNewRomanPSMT"/>
          <w:sz w:val="20"/>
          <w:szCs w:val="20"/>
        </w:rPr>
        <w:br/>
        <w:t>Voir la section 7 pour des informations sur une manipulation sans danger.</w:t>
      </w:r>
      <w:r>
        <w:rPr>
          <w:rFonts w:ascii="TimesNewRomanPSMT" w:hAnsi="TimesNewRomanPSMT"/>
          <w:sz w:val="20"/>
          <w:szCs w:val="20"/>
        </w:rPr>
        <w:br/>
        <w:t xml:space="preserve">Voir la section 8 pour des informations sur les </w:t>
      </w:r>
      <w:proofErr w:type="spellStart"/>
      <w:r>
        <w:rPr>
          <w:rFonts w:ascii="TimesNewRomanPSMT" w:hAnsi="TimesNewRomanPSMT"/>
          <w:sz w:val="20"/>
          <w:szCs w:val="20"/>
        </w:rPr>
        <w:t>équipements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individuelle. Voir la section 13 pour des informations sur l'</w:t>
      </w:r>
      <w:proofErr w:type="spellStart"/>
      <w:r>
        <w:rPr>
          <w:rFonts w:ascii="TimesNewRomanPSMT" w:hAnsi="TimesNewRomanPSMT"/>
          <w:sz w:val="20"/>
          <w:szCs w:val="20"/>
        </w:rPr>
        <w:t>élimination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27771207" w14:textId="77777777" w:rsidR="001A6B20" w:rsidRDefault="001A6B20" w:rsidP="001A6B20">
      <w:pPr>
        <w:pStyle w:val="NormalWeb"/>
        <w:numPr>
          <w:ilvl w:val="0"/>
          <w:numId w:val="11"/>
        </w:numPr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MANIPULATION ET STOCKAGE </w:t>
      </w:r>
      <w:r>
        <w:rPr>
          <w:rFonts w:ascii="TimesNewRomanPSMT" w:hAnsi="TimesNewRomanPSMT"/>
          <w:b/>
          <w:bCs/>
          <w:sz w:val="20"/>
          <w:szCs w:val="20"/>
        </w:rPr>
        <w:t xml:space="preserve">: </w:t>
      </w:r>
    </w:p>
    <w:p w14:paraId="1DFB70AF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7.1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Précautions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à prendre pour une manipulation sans danger : </w:t>
      </w:r>
    </w:p>
    <w:p w14:paraId="521EB0C1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proofErr w:type="spellStart"/>
      <w:r>
        <w:rPr>
          <w:rFonts w:ascii="TimesNewRomanPSMT" w:hAnsi="TimesNewRomanPSMT"/>
          <w:b/>
          <w:bCs/>
          <w:sz w:val="20"/>
          <w:szCs w:val="20"/>
        </w:rPr>
        <w:t>Eviter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le contact avec les yeux, la peau et les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. Utiliser des gants lors de la manipulation. Bien se laver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après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</w:t>
      </w:r>
    </w:p>
    <w:p w14:paraId="7E6FCB61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proofErr w:type="gramStart"/>
      <w:r>
        <w:rPr>
          <w:rFonts w:ascii="TimesNewRomanPSMT" w:hAnsi="TimesNewRomanPSMT"/>
          <w:b/>
          <w:bCs/>
          <w:sz w:val="20"/>
          <w:szCs w:val="20"/>
        </w:rPr>
        <w:t>manipulation</w:t>
      </w:r>
      <w:proofErr w:type="gramEnd"/>
      <w:r>
        <w:rPr>
          <w:rFonts w:ascii="TimesNewRomanPSMT" w:hAnsi="TimesNewRomanPSMT"/>
          <w:b/>
          <w:bCs/>
          <w:sz w:val="20"/>
          <w:szCs w:val="20"/>
        </w:rPr>
        <w:t xml:space="preserve">. </w:t>
      </w:r>
    </w:p>
    <w:p w14:paraId="21DA3E54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7.2 Conditions d'un stockage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sûr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>, y compris d'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éventuelles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incompatibilités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4C95DA2E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MT" w:hAnsi="TimesNewRomanPSMT"/>
          <w:b/>
          <w:bCs/>
          <w:sz w:val="20"/>
          <w:szCs w:val="20"/>
        </w:rPr>
        <w:t xml:space="preserve">Conserver dans le contenant d'origine dans un endroit sec et bien ventilé. Ne pas stocker à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proximite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>́ de sources possibles d'ignition.</w:t>
      </w:r>
      <w:r>
        <w:rPr>
          <w:rFonts w:ascii="TimesNewRomanPSMT" w:hAnsi="TimesNewRomanPSMT"/>
          <w:b/>
          <w:bCs/>
          <w:sz w:val="20"/>
          <w:szCs w:val="20"/>
        </w:rPr>
        <w:br/>
        <w:t xml:space="preserve">Pour des raisons de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qualite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́,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éviter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les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températures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élevées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. </w:t>
      </w:r>
    </w:p>
    <w:p w14:paraId="2BE0035C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7.3 Utilisation (s) finale (s)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particulière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(s) : </w:t>
      </w:r>
    </w:p>
    <w:p w14:paraId="4BEDA26F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MT" w:hAnsi="TimesNewRomanPSMT"/>
          <w:b/>
          <w:bCs/>
          <w:sz w:val="20"/>
          <w:szCs w:val="20"/>
        </w:rPr>
        <w:t xml:space="preserve">Indisponible </w:t>
      </w:r>
    </w:p>
    <w:p w14:paraId="767D5722" w14:textId="77777777" w:rsidR="001A6B20" w:rsidRDefault="001A6B20" w:rsidP="001A6B20">
      <w:pPr>
        <w:pStyle w:val="NormalWeb"/>
        <w:numPr>
          <w:ilvl w:val="0"/>
          <w:numId w:val="11"/>
        </w:numPr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CONTROLE DE L’EXPOSITION ET PROTECTION INDIVIDUELLE </w:t>
      </w:r>
      <w:r>
        <w:rPr>
          <w:rFonts w:ascii="TimesNewRomanPSMT" w:hAnsi="TimesNewRomanPSMT"/>
          <w:b/>
          <w:bCs/>
          <w:sz w:val="20"/>
          <w:szCs w:val="20"/>
        </w:rPr>
        <w:t xml:space="preserve">: </w:t>
      </w:r>
    </w:p>
    <w:p w14:paraId="4184B940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8.1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Paramètres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contrôle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1BC39682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MT" w:hAnsi="TimesNewRomanPSMT"/>
          <w:b/>
          <w:bCs/>
          <w:sz w:val="20"/>
          <w:szCs w:val="20"/>
        </w:rPr>
        <w:lastRenderedPageBreak/>
        <w:t xml:space="preserve">Limites d'exposition professionnelle : non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établies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</w:t>
      </w:r>
    </w:p>
    <w:p w14:paraId="3971ACEE" w14:textId="77777777" w:rsidR="001A6B20" w:rsidRDefault="001A6B20" w:rsidP="001A6B20">
      <w:pPr>
        <w:pStyle w:val="NormalWeb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8.2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Contrôles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 l’exposition : </w:t>
      </w:r>
    </w:p>
    <w:p w14:paraId="5903E6AC" w14:textId="77777777" w:rsidR="001A6B20" w:rsidRDefault="001A6B20" w:rsidP="001A6B20">
      <w:pPr>
        <w:pStyle w:val="NormalWeb"/>
        <w:numPr>
          <w:ilvl w:val="1"/>
          <w:numId w:val="11"/>
        </w:numPr>
        <w:rPr>
          <w:rFonts w:ascii="TimesNewRomanPS" w:hAnsi="TimesNewRomanPS"/>
          <w:b/>
          <w:bCs/>
          <w:sz w:val="20"/>
          <w:szCs w:val="20"/>
        </w:rPr>
      </w:pPr>
      <w:proofErr w:type="gramStart"/>
      <w:r>
        <w:rPr>
          <w:rFonts w:ascii="TimesNewRomanPSMT" w:hAnsi="TimesNewRomanPSMT"/>
          <w:b/>
          <w:bCs/>
          <w:sz w:val="20"/>
          <w:szCs w:val="20"/>
        </w:rPr>
        <w:t>8.2.1  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Contrôle</w:t>
      </w:r>
      <w:proofErr w:type="spellEnd"/>
      <w:proofErr w:type="gramEnd"/>
      <w:r>
        <w:rPr>
          <w:rFonts w:ascii="TimesNewRomanPSMT" w:hAnsi="TimesNewRomanPSMT"/>
          <w:b/>
          <w:bCs/>
          <w:sz w:val="20"/>
          <w:szCs w:val="20"/>
        </w:rPr>
        <w:t xml:space="preserve"> technique approprié : aucune mesure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particulière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n'est requise. </w:t>
      </w:r>
    </w:p>
    <w:p w14:paraId="05B547E1" w14:textId="77777777" w:rsidR="001A6B20" w:rsidRDefault="001A6B20" w:rsidP="001A6B20">
      <w:pPr>
        <w:pStyle w:val="NormalWeb"/>
        <w:numPr>
          <w:ilvl w:val="1"/>
          <w:numId w:val="11"/>
        </w:numPr>
        <w:rPr>
          <w:rFonts w:ascii="TimesNewRomanPS" w:hAnsi="TimesNewRomanPS"/>
          <w:b/>
          <w:bCs/>
          <w:sz w:val="20"/>
          <w:szCs w:val="20"/>
        </w:rPr>
      </w:pPr>
      <w:proofErr w:type="gramStart"/>
      <w:r>
        <w:rPr>
          <w:rFonts w:ascii="TimesNewRomanPSMT" w:hAnsi="TimesNewRomanPSMT"/>
          <w:b/>
          <w:bCs/>
          <w:sz w:val="20"/>
          <w:szCs w:val="20"/>
        </w:rPr>
        <w:t>8.2.2  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Équipement</w:t>
      </w:r>
      <w:proofErr w:type="spellEnd"/>
      <w:proofErr w:type="gramEnd"/>
      <w:r>
        <w:rPr>
          <w:rFonts w:ascii="TimesNewRomanPSMT" w:hAnsi="TimesNewRomanPSMT"/>
          <w:b/>
          <w:bCs/>
          <w:sz w:val="20"/>
          <w:szCs w:val="20"/>
        </w:rPr>
        <w:t xml:space="preserve"> de protection individuelle : </w:t>
      </w:r>
    </w:p>
    <w:p w14:paraId="16932BBA" w14:textId="77777777" w:rsidR="001A6B20" w:rsidRDefault="001A6B20" w:rsidP="001A6B20">
      <w:pPr>
        <w:pStyle w:val="NormalWeb"/>
        <w:ind w:left="144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MT" w:hAnsi="TimesNewRomanPSMT"/>
          <w:b/>
          <w:bCs/>
          <w:sz w:val="20"/>
          <w:szCs w:val="20"/>
        </w:rPr>
        <w:t xml:space="preserve">- Protection des yeux : Lunettes ou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visière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avec lunettes, en fonction de l'exposition potentielle.</w:t>
      </w:r>
      <w:r>
        <w:rPr>
          <w:rFonts w:ascii="TimesNewRomanPSMT" w:hAnsi="TimesNewRomanPSMT"/>
          <w:b/>
          <w:bCs/>
          <w:sz w:val="20"/>
          <w:szCs w:val="20"/>
        </w:rPr>
        <w:br/>
        <w:t>- Protection de la peau : Gants de protection</w:t>
      </w:r>
      <w:r>
        <w:rPr>
          <w:rFonts w:ascii="TimesNewRomanPSMT" w:hAnsi="TimesNewRomanPSMT"/>
          <w:b/>
          <w:bCs/>
          <w:sz w:val="20"/>
          <w:szCs w:val="20"/>
        </w:rPr>
        <w:br/>
        <w:t xml:space="preserve">- Protection respiratoire : Aucune requise pour la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ambiante, bien qu'un respirateur purificateur d’air </w:t>
      </w:r>
    </w:p>
    <w:p w14:paraId="27013FC3" w14:textId="77777777" w:rsidR="001A6B20" w:rsidRDefault="001A6B20" w:rsidP="001A6B20">
      <w:pPr>
        <w:pStyle w:val="NormalWeb"/>
        <w:ind w:left="1440"/>
        <w:rPr>
          <w:rFonts w:ascii="TimesNewRomanPS" w:hAnsi="TimesNewRomanPS"/>
          <w:b/>
          <w:bCs/>
          <w:sz w:val="20"/>
          <w:szCs w:val="20"/>
        </w:rPr>
      </w:pPr>
      <w:proofErr w:type="gramStart"/>
      <w:r>
        <w:rPr>
          <w:rFonts w:ascii="TimesNewRomanPSMT" w:hAnsi="TimesNewRomanPSMT"/>
          <w:b/>
          <w:bCs/>
          <w:sz w:val="20"/>
          <w:szCs w:val="20"/>
        </w:rPr>
        <w:t>approprié</w:t>
      </w:r>
      <w:proofErr w:type="gramEnd"/>
      <w:r>
        <w:rPr>
          <w:rFonts w:ascii="TimesNewRomanPSMT" w:hAnsi="TimesNewRomanPSMT"/>
          <w:b/>
          <w:bCs/>
          <w:sz w:val="20"/>
          <w:szCs w:val="20"/>
        </w:rPr>
        <w:t xml:space="preserve"> approuvé par NIOSH doit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être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utilisé si un brouillard ou une vapeur est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génére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>́</w:t>
      </w:r>
      <w:r>
        <w:rPr>
          <w:rFonts w:ascii="TimesNewRomanPSMT" w:hAnsi="TimesNewRomanPSMT"/>
          <w:b/>
          <w:bCs/>
          <w:sz w:val="20"/>
          <w:szCs w:val="20"/>
        </w:rPr>
        <w:br/>
        <w:t xml:space="preserve">-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Contrôles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de l'exposition environnementale : les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émissions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provenant de la ventilation ou des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équipements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de travail </w:t>
      </w:r>
    </w:p>
    <w:p w14:paraId="75F7D05D" w14:textId="77777777" w:rsidR="001A6B20" w:rsidRDefault="001A6B20" w:rsidP="001A6B20">
      <w:pPr>
        <w:pStyle w:val="NormalWeb"/>
        <w:ind w:left="1440"/>
        <w:rPr>
          <w:rFonts w:ascii="TimesNewRomanPS" w:hAnsi="TimesNewRomanPS"/>
          <w:b/>
          <w:bCs/>
          <w:sz w:val="20"/>
          <w:szCs w:val="20"/>
        </w:rPr>
      </w:pPr>
      <w:proofErr w:type="gramStart"/>
      <w:r>
        <w:rPr>
          <w:rFonts w:ascii="TimesNewRomanPSMT" w:hAnsi="TimesNewRomanPSMT"/>
          <w:b/>
          <w:bCs/>
          <w:sz w:val="20"/>
          <w:szCs w:val="20"/>
        </w:rPr>
        <w:t>doivent</w:t>
      </w:r>
      <w:proofErr w:type="gramEnd"/>
      <w:r>
        <w:rPr>
          <w:rFonts w:ascii="TimesNewRomanPSMT" w:hAnsi="TimesNewRomanPS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être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vérifiées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pour s'assurer qu'elles sont conformes aux exigences de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la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b/>
          <w:bCs/>
          <w:sz w:val="20"/>
          <w:szCs w:val="20"/>
        </w:rPr>
        <w:t>législation</w:t>
      </w:r>
      <w:proofErr w:type="spellEnd"/>
      <w:r>
        <w:rPr>
          <w:rFonts w:ascii="TimesNewRomanPSMT" w:hAnsi="TimesNewRomanPSMT"/>
          <w:b/>
          <w:bCs/>
          <w:sz w:val="20"/>
          <w:szCs w:val="20"/>
        </w:rPr>
        <w:t xml:space="preserve"> sur la protection de l'environnement. </w:t>
      </w:r>
    </w:p>
    <w:p w14:paraId="034A9C70" w14:textId="77777777" w:rsidR="00AF6BC0" w:rsidRDefault="00AF6BC0" w:rsidP="00AF6BC0">
      <w:pPr>
        <w:spacing w:after="135" w:line="259" w:lineRule="auto"/>
        <w:ind w:left="0" w:firstLine="0"/>
      </w:pPr>
      <w:r>
        <w:rPr>
          <w:sz w:val="11"/>
        </w:rPr>
        <w:t xml:space="preserve"> </w:t>
      </w:r>
    </w:p>
    <w:p w14:paraId="60601FEB" w14:textId="77777777" w:rsidR="00AF6BC0" w:rsidRDefault="00AF6BC0" w:rsidP="00AF6BC0">
      <w:pPr>
        <w:spacing w:after="0" w:line="259" w:lineRule="auto"/>
        <w:ind w:left="175"/>
      </w:pPr>
      <w:r>
        <w:rPr>
          <w:b/>
          <w:sz w:val="20"/>
        </w:rPr>
        <w:t>9.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u w:val="single" w:color="00000A"/>
        </w:rPr>
        <w:t>PROPRIETES PHYSIQUES ET CHIMIQUES</w:t>
      </w:r>
      <w:r>
        <w:rPr>
          <w:u w:val="single" w:color="00000A"/>
        </w:rPr>
        <w:t xml:space="preserve"> :</w:t>
      </w:r>
      <w:r>
        <w:rPr>
          <w:sz w:val="20"/>
        </w:rPr>
        <w:t xml:space="preserve"> </w:t>
      </w:r>
    </w:p>
    <w:p w14:paraId="62B57328" w14:textId="77777777" w:rsidR="00AF6BC0" w:rsidRDefault="00AF6BC0" w:rsidP="00AF6BC0">
      <w:pPr>
        <w:spacing w:after="173" w:line="259" w:lineRule="auto"/>
        <w:ind w:left="0" w:firstLine="0"/>
      </w:pPr>
      <w:r>
        <w:t xml:space="preserve"> </w:t>
      </w:r>
    </w:p>
    <w:p w14:paraId="5AEC53F7" w14:textId="77777777" w:rsidR="00DB68BE" w:rsidRDefault="00DB68BE" w:rsidP="00DB68BE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9.1 Informations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générales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375E20E5" w14:textId="62ED99B2" w:rsidR="00DB68BE" w:rsidRDefault="00DB68BE" w:rsidP="00DB68BE">
      <w:pPr>
        <w:pStyle w:val="NormalWeb"/>
        <w:rPr>
          <w:rFonts w:ascii="TimesNewRomanPSMT" w:hAnsi="TimesNewRomanPSMT"/>
          <w:sz w:val="20"/>
          <w:szCs w:val="20"/>
        </w:rPr>
      </w:pPr>
      <w:proofErr w:type="spellStart"/>
      <w:r>
        <w:rPr>
          <w:rFonts w:ascii="TimesNewRomanPSMT" w:hAnsi="TimesNewRomanPSMT"/>
          <w:sz w:val="20"/>
          <w:szCs w:val="20"/>
        </w:rPr>
        <w:t>Etat</w:t>
      </w:r>
      <w:proofErr w:type="spellEnd"/>
      <w:r>
        <w:rPr>
          <w:rFonts w:ascii="TimesNewRomanPSMT" w:hAnsi="TimesNewRomanPSMT"/>
          <w:sz w:val="20"/>
          <w:szCs w:val="20"/>
        </w:rPr>
        <w:t xml:space="preserve"> physique : </w:t>
      </w:r>
      <w:r>
        <w:rPr>
          <w:rFonts w:ascii="TimesNewRomanPSMT" w:hAnsi="TimesNewRomanPSMT"/>
          <w:sz w:val="20"/>
          <w:szCs w:val="20"/>
        </w:rPr>
        <w:tab/>
        <w:t>Solide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Forme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  <w:t>Poudre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Couleur : </w:t>
      </w:r>
      <w:r>
        <w:rPr>
          <w:rFonts w:ascii="TimesNewRomanPSMT" w:hAnsi="TimesNewRomanPSMT"/>
          <w:sz w:val="20"/>
          <w:szCs w:val="20"/>
        </w:rPr>
        <w:tab/>
        <w:t xml:space="preserve">Blanc </w:t>
      </w:r>
      <w:r w:rsidR="00945E43">
        <w:rPr>
          <w:rFonts w:ascii="TimesNewRomanPSMT" w:hAnsi="TimesNewRomanPSMT"/>
          <w:sz w:val="20"/>
          <w:szCs w:val="20"/>
        </w:rPr>
        <w:t>Jaunâtre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Odeur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945E43">
        <w:rPr>
          <w:rFonts w:ascii="TimesNewRomanPSMT" w:hAnsi="TimesNewRomanPSMT"/>
          <w:sz w:val="20"/>
          <w:szCs w:val="20"/>
        </w:rPr>
        <w:t>Légère odeur fade /suif</w:t>
      </w:r>
    </w:p>
    <w:p w14:paraId="7B3CEE44" w14:textId="77777777" w:rsidR="00945E43" w:rsidRDefault="00945E43" w:rsidP="00945E43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9.2 Informations importantes relatives à la santé et à l’environnement : </w:t>
      </w:r>
    </w:p>
    <w:p w14:paraId="276B769A" w14:textId="37AE58CF" w:rsidR="005470E0" w:rsidRDefault="00945E43" w:rsidP="005470E0">
      <w:pPr>
        <w:pStyle w:val="NormalWeb"/>
        <w:ind w:left="708" w:hanging="708"/>
      </w:pPr>
      <w:proofErr w:type="gramStart"/>
      <w:r>
        <w:rPr>
          <w:rFonts w:ascii="TimesNewRomanPSMT" w:hAnsi="TimesNewRomanPSMT"/>
          <w:sz w:val="20"/>
          <w:szCs w:val="20"/>
        </w:rPr>
        <w:t>pH</w:t>
      </w:r>
      <w:proofErr w:type="gram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  <w:t>Non applicable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Températures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caractéristiques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896A8C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br/>
      </w:r>
      <w:proofErr w:type="spellStart"/>
      <w:r w:rsidR="005470E0">
        <w:rPr>
          <w:rFonts w:ascii="TimesNewRomanPSMT" w:hAnsi="TimesNewRomanPSMT"/>
          <w:sz w:val="20"/>
          <w:szCs w:val="20"/>
        </w:rPr>
        <w:t>Température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de fusion :</w:t>
      </w:r>
      <w:r w:rsidR="005470E0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>53-63°C</w:t>
      </w:r>
      <w:r w:rsidR="005470E0">
        <w:rPr>
          <w:rFonts w:ascii="TimesNewRomanPSMT" w:hAnsi="TimesNewRomanPSMT"/>
          <w:sz w:val="20"/>
          <w:szCs w:val="20"/>
        </w:rPr>
        <w:br/>
      </w:r>
      <w:proofErr w:type="spellStart"/>
      <w:r w:rsidR="005470E0">
        <w:rPr>
          <w:rFonts w:ascii="TimesNewRomanPSMT" w:hAnsi="TimesNewRomanPSMT"/>
          <w:sz w:val="20"/>
          <w:szCs w:val="20"/>
        </w:rPr>
        <w:t>Température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d’</w:t>
      </w:r>
      <w:proofErr w:type="spellStart"/>
      <w:r w:rsidR="005470E0">
        <w:rPr>
          <w:rFonts w:ascii="TimesNewRomanPSMT" w:hAnsi="TimesNewRomanPSMT"/>
          <w:sz w:val="20"/>
          <w:szCs w:val="20"/>
        </w:rPr>
        <w:t>ébullition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à 760 </w:t>
      </w:r>
      <w:proofErr w:type="spellStart"/>
      <w:r w:rsidR="005470E0">
        <w:rPr>
          <w:rFonts w:ascii="TimesNewRomanPSMT" w:hAnsi="TimesNewRomanPSMT"/>
          <w:sz w:val="20"/>
          <w:szCs w:val="20"/>
        </w:rPr>
        <w:t>mmHg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: </w:t>
      </w:r>
      <w:r w:rsidR="005470E0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tab/>
      </w:r>
      <w:r w:rsidR="005470E0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>200-240°C</w:t>
      </w:r>
      <w:r w:rsidR="009771A7">
        <w:rPr>
          <w:rFonts w:ascii="TimesNewRomanPSMT" w:hAnsi="TimesNewRomanPSMT"/>
          <w:sz w:val="20"/>
          <w:szCs w:val="20"/>
        </w:rPr>
        <w:br/>
      </w:r>
      <w:r w:rsidR="005470E0">
        <w:rPr>
          <w:rFonts w:ascii="TimesNewRomanPSMT" w:hAnsi="TimesNewRomanPSMT"/>
          <w:sz w:val="20"/>
          <w:szCs w:val="20"/>
        </w:rPr>
        <w:t>Point d’</w:t>
      </w:r>
      <w:proofErr w:type="spellStart"/>
      <w:r w:rsidR="005470E0">
        <w:rPr>
          <w:rFonts w:ascii="TimesNewRomanPSMT" w:hAnsi="TimesNewRomanPSMT"/>
          <w:sz w:val="20"/>
          <w:szCs w:val="20"/>
        </w:rPr>
        <w:t>éclair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:</w:t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>180-202°C (ASTM D92)</w:t>
      </w:r>
      <w:r w:rsidR="005470E0">
        <w:rPr>
          <w:rFonts w:ascii="TimesNewRomanPSMT" w:hAnsi="TimesNewRomanPSMT"/>
          <w:sz w:val="20"/>
          <w:szCs w:val="20"/>
        </w:rPr>
        <w:br/>
      </w:r>
      <w:proofErr w:type="spellStart"/>
      <w:r w:rsidR="005470E0">
        <w:rPr>
          <w:rFonts w:ascii="TimesNewRomanPSMT" w:hAnsi="TimesNewRomanPSMT"/>
          <w:sz w:val="20"/>
          <w:szCs w:val="20"/>
        </w:rPr>
        <w:t>Température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d’auto inflammation : </w:t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>&gt;350 °C</w:t>
      </w:r>
      <w:r w:rsidR="005470E0">
        <w:rPr>
          <w:rFonts w:ascii="TimesNewRomanPSMT" w:hAnsi="TimesNewRomanPSMT"/>
          <w:sz w:val="20"/>
          <w:szCs w:val="20"/>
        </w:rPr>
        <w:br/>
      </w:r>
      <w:proofErr w:type="spellStart"/>
      <w:r w:rsidR="005470E0">
        <w:rPr>
          <w:rFonts w:ascii="TimesNewRomanPSMT" w:hAnsi="TimesNewRomanPSMT"/>
          <w:sz w:val="20"/>
          <w:szCs w:val="20"/>
        </w:rPr>
        <w:t>Température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 w:rsidR="005470E0">
        <w:rPr>
          <w:rFonts w:ascii="TimesNewRomanPSMT" w:hAnsi="TimesNewRomanPSMT"/>
          <w:sz w:val="20"/>
          <w:szCs w:val="20"/>
        </w:rPr>
        <w:t>décomposition</w:t>
      </w:r>
      <w:proofErr w:type="spellEnd"/>
      <w:r w:rsidR="005470E0">
        <w:rPr>
          <w:rFonts w:ascii="TimesNewRomanPSMT" w:hAnsi="TimesNewRomanPSMT"/>
          <w:sz w:val="20"/>
          <w:szCs w:val="20"/>
        </w:rPr>
        <w:t xml:space="preserve"> :</w:t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  <w:t>&gt;204°C</w:t>
      </w:r>
    </w:p>
    <w:p w14:paraId="6B8DA04F" w14:textId="60B1C544" w:rsidR="00945E43" w:rsidRDefault="00945E43" w:rsidP="00945E43">
      <w:pPr>
        <w:pStyle w:val="NormalWeb"/>
      </w:pPr>
    </w:p>
    <w:p w14:paraId="334BEF69" w14:textId="43AA77EB" w:rsidR="00945E43" w:rsidRDefault="00945E43" w:rsidP="000134EF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Solubilite</w:t>
      </w:r>
      <w:proofErr w:type="spellEnd"/>
      <w:r>
        <w:rPr>
          <w:rFonts w:ascii="TimesNewRomanPSMT" w:hAnsi="TimesNewRomanPSMT"/>
          <w:sz w:val="20"/>
          <w:szCs w:val="20"/>
        </w:rPr>
        <w:t>́ (à 20°C) :</w:t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9771A7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>&lt;0,05 mg/L</w:t>
      </w:r>
      <w:r>
        <w:rPr>
          <w:rFonts w:ascii="TimesNewRomanPSMT" w:hAnsi="TimesNewRomanPSMT"/>
          <w:sz w:val="20"/>
          <w:szCs w:val="20"/>
        </w:rPr>
        <w:br/>
        <w:t xml:space="preserve">Coefficient de partage n-octanol/eau : </w:t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  <w:t>7,05 – 8,23</w:t>
      </w:r>
      <w:r w:rsidR="000134EF"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Viscosite</w:t>
      </w:r>
      <w:proofErr w:type="spellEnd"/>
      <w:r>
        <w:rPr>
          <w:rFonts w:ascii="TimesNewRomanPSMT" w:hAnsi="TimesNewRomanPSMT"/>
          <w:sz w:val="20"/>
          <w:szCs w:val="20"/>
        </w:rPr>
        <w:t>́ à 70°C :</w:t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  <w:t>12mm2 (ASTM D445)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Propriétés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explosives :</w:t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0134EF">
        <w:rPr>
          <w:rFonts w:ascii="TimesNewRomanPSMT" w:hAnsi="TimesNewRomanPSMT"/>
          <w:sz w:val="20"/>
          <w:szCs w:val="20"/>
        </w:rPr>
        <w:tab/>
      </w:r>
      <w:r w:rsidR="00AF4C3F">
        <w:rPr>
          <w:rFonts w:ascii="TimesNewRomanPSMT" w:hAnsi="TimesNewRomanPSMT"/>
          <w:sz w:val="20"/>
          <w:szCs w:val="20"/>
        </w:rPr>
        <w:t>Aucune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Propriétés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comburantes : </w:t>
      </w:r>
      <w:r w:rsidR="00AF4C3F">
        <w:rPr>
          <w:rFonts w:ascii="TimesNewRomanPSMT" w:hAnsi="TimesNewRomanPSMT"/>
          <w:sz w:val="20"/>
          <w:szCs w:val="20"/>
        </w:rPr>
        <w:tab/>
      </w:r>
      <w:r w:rsidR="00AF4C3F">
        <w:rPr>
          <w:rFonts w:ascii="TimesNewRomanPSMT" w:hAnsi="TimesNewRomanPSMT"/>
          <w:sz w:val="20"/>
          <w:szCs w:val="20"/>
        </w:rPr>
        <w:tab/>
      </w:r>
      <w:r w:rsidR="00AF4C3F">
        <w:rPr>
          <w:rFonts w:ascii="TimesNewRomanPSMT" w:hAnsi="TimesNewRomanPSMT"/>
          <w:sz w:val="20"/>
          <w:szCs w:val="20"/>
        </w:rPr>
        <w:tab/>
      </w:r>
      <w:r w:rsidR="00AF4C3F">
        <w:rPr>
          <w:rFonts w:ascii="TimesNewRomanPSMT" w:hAnsi="TimesNewRomanPSMT"/>
          <w:sz w:val="20"/>
          <w:szCs w:val="20"/>
        </w:rPr>
        <w:tab/>
      </w:r>
      <w:r w:rsidR="00AF4C3F">
        <w:rPr>
          <w:rFonts w:ascii="TimesNewRomanPSMT" w:hAnsi="TimesNewRomanPSMT"/>
          <w:sz w:val="20"/>
          <w:szCs w:val="20"/>
        </w:rPr>
        <w:tab/>
      </w:r>
      <w:r w:rsidR="00AF4C3F">
        <w:rPr>
          <w:rFonts w:ascii="TimesNewRomanPSMT" w:hAnsi="TimesNewRomanPSMT"/>
          <w:sz w:val="20"/>
          <w:szCs w:val="20"/>
        </w:rPr>
        <w:tab/>
        <w:t>Aucune</w:t>
      </w:r>
    </w:p>
    <w:p w14:paraId="16321AE6" w14:textId="77777777" w:rsidR="00945E43" w:rsidRDefault="00945E43" w:rsidP="00DB68BE">
      <w:pPr>
        <w:pStyle w:val="NormalWeb"/>
      </w:pPr>
    </w:p>
    <w:p w14:paraId="6136ABA0" w14:textId="77777777" w:rsidR="00AF4C3F" w:rsidRDefault="00AF4C3F" w:rsidP="00DB68BE">
      <w:pPr>
        <w:pStyle w:val="NormalWeb"/>
      </w:pPr>
    </w:p>
    <w:p w14:paraId="42F0E307" w14:textId="77777777" w:rsidR="00AF4C3F" w:rsidRDefault="00AF4C3F" w:rsidP="00AF4C3F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lastRenderedPageBreak/>
        <w:t xml:space="preserve">10. STABILITE ET REACTIVITE : </w:t>
      </w:r>
    </w:p>
    <w:p w14:paraId="1CCBF086" w14:textId="0F25E3F3" w:rsidR="00F861ED" w:rsidRDefault="00F861ED" w:rsidP="00F861E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10.1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Réactivite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: </w:t>
      </w:r>
      <w:r>
        <w:rPr>
          <w:rFonts w:ascii="TimesNewRomanPSMT" w:hAnsi="TimesNewRomanPSMT"/>
          <w:sz w:val="20"/>
          <w:szCs w:val="20"/>
        </w:rPr>
        <w:t xml:space="preserve">Aucune connue </w:t>
      </w:r>
    </w:p>
    <w:p w14:paraId="0179029F" w14:textId="77777777" w:rsidR="00F861ED" w:rsidRDefault="00F861ED" w:rsidP="00F861E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10.2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Stabilite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chimique : </w:t>
      </w:r>
      <w:r>
        <w:rPr>
          <w:rFonts w:ascii="TimesNewRomanPSMT" w:hAnsi="TimesNewRomanPSMT"/>
          <w:sz w:val="20"/>
          <w:szCs w:val="20"/>
        </w:rPr>
        <w:t xml:space="preserve">Stable dans les conditions normales d’emploi. </w:t>
      </w:r>
    </w:p>
    <w:p w14:paraId="624B9707" w14:textId="6120D1E8" w:rsidR="00F861ED" w:rsidRDefault="00F861ED" w:rsidP="00F861E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10.3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Possibilite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de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réaction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dangereuse : </w:t>
      </w:r>
      <w:r>
        <w:rPr>
          <w:rFonts w:ascii="TimesNewRomanPSMT" w:hAnsi="TimesNewRomanPSMT"/>
          <w:sz w:val="20"/>
          <w:szCs w:val="20"/>
        </w:rPr>
        <w:t xml:space="preserve">Aucune connue </w:t>
      </w:r>
    </w:p>
    <w:p w14:paraId="253BC193" w14:textId="066A77F9" w:rsidR="00F861ED" w:rsidRDefault="00F861ED" w:rsidP="00F861E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10.4 Conditions à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éviter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t xml:space="preserve">Surchauffer le produit. </w:t>
      </w:r>
    </w:p>
    <w:p w14:paraId="79ACA36E" w14:textId="483AEE21" w:rsidR="00F861ED" w:rsidRDefault="00F861ED" w:rsidP="00F861ED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10.5 Substance incompatible : </w:t>
      </w:r>
      <w:proofErr w:type="spellStart"/>
      <w:r>
        <w:rPr>
          <w:rFonts w:ascii="TimesNewRomanPSMT" w:hAnsi="TimesNewRomanPSMT"/>
          <w:sz w:val="20"/>
          <w:szCs w:val="20"/>
        </w:rPr>
        <w:t>Eviter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agents oxydants puissants. </w:t>
      </w:r>
    </w:p>
    <w:p w14:paraId="6CC12A3D" w14:textId="1A90AA3F" w:rsidR="00F861ED" w:rsidRDefault="00F861ED" w:rsidP="00F861ED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10.6 Produits de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décomposition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dangereux : </w:t>
      </w:r>
      <w:r>
        <w:rPr>
          <w:rFonts w:ascii="TimesNewRomanPSMT" w:hAnsi="TimesNewRomanPSMT"/>
          <w:sz w:val="20"/>
          <w:szCs w:val="20"/>
        </w:rPr>
        <w:t xml:space="preserve">Le produit ne se </w:t>
      </w:r>
      <w:proofErr w:type="spellStart"/>
      <w:r>
        <w:rPr>
          <w:rFonts w:ascii="TimesNewRomanPSMT" w:hAnsi="TimesNewRomanPSMT"/>
          <w:sz w:val="20"/>
          <w:szCs w:val="20"/>
        </w:rPr>
        <w:t>décompose</w:t>
      </w:r>
      <w:proofErr w:type="spellEnd"/>
      <w:r>
        <w:rPr>
          <w:rFonts w:ascii="TimesNewRomanPSMT" w:hAnsi="TimesNewRomanPSMT"/>
          <w:sz w:val="20"/>
          <w:szCs w:val="20"/>
        </w:rPr>
        <w:t xml:space="preserve"> pas </w:t>
      </w:r>
      <w:proofErr w:type="spellStart"/>
      <w:r>
        <w:rPr>
          <w:rFonts w:ascii="TimesNewRomanPSMT" w:hAnsi="TimesNewRomanPSMT"/>
          <w:sz w:val="20"/>
          <w:szCs w:val="20"/>
        </w:rPr>
        <w:t>au-dela</w:t>
      </w:r>
      <w:proofErr w:type="spellEnd"/>
      <w:r>
        <w:rPr>
          <w:rFonts w:ascii="TimesNewRomanPSMT" w:hAnsi="TimesNewRomanPSMT"/>
          <w:sz w:val="20"/>
          <w:szCs w:val="20"/>
        </w:rPr>
        <w:t xml:space="preserve">̀ de 204 °C. La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thermique ou la combustion peut produire du monoxyde de carbone et / ou du dioxyde de carbone. </w:t>
      </w:r>
    </w:p>
    <w:p w14:paraId="2791F756" w14:textId="77777777" w:rsidR="00EA6A2E" w:rsidRDefault="00EA6A2E" w:rsidP="00F861ED">
      <w:pPr>
        <w:pStyle w:val="NormalWeb"/>
        <w:rPr>
          <w:rFonts w:ascii="TimesNewRomanPSMT" w:hAnsi="TimesNewRomanPSMT"/>
          <w:sz w:val="20"/>
          <w:szCs w:val="20"/>
        </w:rPr>
      </w:pPr>
    </w:p>
    <w:p w14:paraId="547C5086" w14:textId="77777777" w:rsidR="00EA6A2E" w:rsidRDefault="00EA6A2E" w:rsidP="00EA6A2E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11. INFORMATIONS TOXICOLOGIQUES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402A02CA" w14:textId="77777777" w:rsidR="00EA6A2E" w:rsidRDefault="00EA6A2E" w:rsidP="00EA6A2E">
      <w:pPr>
        <w:pStyle w:val="NormalWeb"/>
      </w:pPr>
      <w:r>
        <w:rPr>
          <w:rFonts w:ascii="TimesNewRomanPSMT" w:hAnsi="TimesNewRomanPSMT"/>
          <w:sz w:val="20"/>
          <w:szCs w:val="20"/>
        </w:rPr>
        <w:t>Informations sur les informations toxicologiques :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11.1 Aiguë orale : </w:t>
      </w:r>
      <w:r>
        <w:rPr>
          <w:rFonts w:ascii="TimesNewRomanPSMT" w:hAnsi="TimesNewRomanPSMT"/>
          <w:sz w:val="20"/>
          <w:szCs w:val="20"/>
        </w:rPr>
        <w:t>DL50 rat&gt; 5000 mg / kg pc (OCDE 401 ; Analogie CAS 57-10-3, CAS 57-11-4)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11.2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Cutane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: </w:t>
      </w:r>
      <w:r>
        <w:rPr>
          <w:rFonts w:ascii="TimesNewRomanPSMT" w:hAnsi="TimesNewRomanPSMT"/>
          <w:sz w:val="20"/>
          <w:szCs w:val="20"/>
        </w:rPr>
        <w:t>DL50 lapin&gt; 2000 mg / kg pc (Analogie CAS 57-11-4)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11.3 Inhalé : </w:t>
      </w:r>
      <w:r>
        <w:rPr>
          <w:rFonts w:ascii="TimesNewRomanPSMT" w:hAnsi="TimesNewRomanPSMT"/>
          <w:sz w:val="20"/>
          <w:szCs w:val="20"/>
        </w:rPr>
        <w:t>DL50 rat (4 h)&gt; 0,152 mg / L (Analogie CAS 124-07-2)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11.4 Corrosion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cutanée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/ irritation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cutanée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t>Non irritant (OCDE 404 ; Analogie CAS 57-10-3, CAS 57-11-4)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11.5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Lésions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oculaires graves / irritation oculaire : </w:t>
      </w:r>
      <w:r>
        <w:rPr>
          <w:rFonts w:ascii="TimesNewRomanPSMT" w:hAnsi="TimesNewRomanPSMT"/>
          <w:sz w:val="20"/>
          <w:szCs w:val="20"/>
        </w:rPr>
        <w:t xml:space="preserve">Non irritant (OCDE 405 ; Analogie CAS 57-10-3, CAS 57-11-4) </w:t>
      </w:r>
      <w:r>
        <w:rPr>
          <w:rFonts w:ascii="TimesNewRomanPS" w:hAnsi="TimesNewRomanPS"/>
          <w:b/>
          <w:bCs/>
          <w:sz w:val="20"/>
          <w:szCs w:val="20"/>
        </w:rPr>
        <w:t xml:space="preserve">11.6 Sensibilisation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cutanée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t>Non sensibilisant (concluant mais pas suffisant pour la classification)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11.7 Sensibilisation respiratoire : </w:t>
      </w:r>
      <w:r>
        <w:rPr>
          <w:rFonts w:ascii="TimesNewRomanPSMT" w:hAnsi="TimesNewRomanPSMT"/>
          <w:sz w:val="20"/>
          <w:szCs w:val="20"/>
        </w:rPr>
        <w:t xml:space="preserve">Aucune </w:t>
      </w:r>
      <w:proofErr w:type="spellStart"/>
      <w:r>
        <w:rPr>
          <w:rFonts w:ascii="TimesNewRomanPSMT" w:hAnsi="TimesNewRomanPSMT"/>
          <w:sz w:val="20"/>
          <w:szCs w:val="20"/>
        </w:rPr>
        <w:t>donnée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11.8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Mutagénicite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sur les cellules germinales : </w:t>
      </w:r>
      <w:r>
        <w:rPr>
          <w:rFonts w:ascii="TimesNewRomanPSMT" w:hAnsi="TimesNewRomanPSMT"/>
          <w:sz w:val="20"/>
          <w:szCs w:val="20"/>
        </w:rPr>
        <w:t xml:space="preserve">Non-classification (concluante mais pas suffisante pour la classification) </w:t>
      </w:r>
      <w:r>
        <w:rPr>
          <w:rFonts w:ascii="TimesNewRomanPS" w:hAnsi="TimesNewRomanPS"/>
          <w:b/>
          <w:bCs/>
          <w:sz w:val="20"/>
          <w:szCs w:val="20"/>
        </w:rPr>
        <w:t xml:space="preserve">11.9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Cancérogénicite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: </w:t>
      </w:r>
      <w:r>
        <w:rPr>
          <w:rFonts w:ascii="TimesNewRomanPSMT" w:hAnsi="TimesNewRomanPSMT"/>
          <w:sz w:val="20"/>
          <w:szCs w:val="20"/>
        </w:rPr>
        <w:t xml:space="preserve">Aucune </w:t>
      </w:r>
      <w:proofErr w:type="spellStart"/>
      <w:r>
        <w:rPr>
          <w:rFonts w:ascii="TimesNewRomanPSMT" w:hAnsi="TimesNewRomanPSMT"/>
          <w:sz w:val="20"/>
          <w:szCs w:val="20"/>
        </w:rPr>
        <w:t>donnée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11.10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Toxicite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pour la reproduction : </w:t>
      </w:r>
      <w:r>
        <w:rPr>
          <w:rFonts w:ascii="TimesNewRomanPSMT" w:hAnsi="TimesNewRomanPSMT"/>
          <w:sz w:val="20"/>
          <w:szCs w:val="20"/>
        </w:rPr>
        <w:t>Non-classification (concluante mais pas suffisante pour la classification)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11.11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Toxicite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spécifique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pour certains organes cibles : </w:t>
      </w:r>
    </w:p>
    <w:p w14:paraId="26B9DE9E" w14:textId="77777777" w:rsidR="00EA6A2E" w:rsidRDefault="00EA6A2E" w:rsidP="00EA6A2E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-Exposition unique : Non-classification (concluante mais pas suffisante pour la classification) </w:t>
      </w:r>
    </w:p>
    <w:p w14:paraId="439E2811" w14:textId="77777777" w:rsidR="00EA6A2E" w:rsidRDefault="00EA6A2E" w:rsidP="00EA6A2E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-Exposition </w:t>
      </w:r>
      <w:proofErr w:type="spellStart"/>
      <w:r>
        <w:rPr>
          <w:rFonts w:ascii="TimesNewRomanPSMT" w:hAnsi="TimesNewRomanPSMT"/>
          <w:sz w:val="20"/>
          <w:szCs w:val="20"/>
        </w:rPr>
        <w:t>répétée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: Non-classification (concluante mais pas suffisante pour la classification) </w:t>
      </w:r>
      <w:r>
        <w:rPr>
          <w:rFonts w:ascii="TimesNewRomanPS" w:hAnsi="TimesNewRomanPS"/>
          <w:b/>
          <w:bCs/>
          <w:sz w:val="20"/>
          <w:szCs w:val="20"/>
        </w:rPr>
        <w:t xml:space="preserve">11.12 Danger par aspiration : </w:t>
      </w:r>
      <w:r>
        <w:rPr>
          <w:rFonts w:ascii="TimesNewRomanPSMT" w:hAnsi="TimesNewRomanPSMT"/>
          <w:sz w:val="20"/>
          <w:szCs w:val="20"/>
        </w:rPr>
        <w:t xml:space="preserve">Non-classification (concluant mais pas suffisant pour la classification) </w:t>
      </w:r>
    </w:p>
    <w:p w14:paraId="2573F7C2" w14:textId="77777777" w:rsidR="00EA6A2E" w:rsidRDefault="00EA6A2E" w:rsidP="00EA6A2E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12. INFORMATIONS ECOLOGIQUES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6CF4904F" w14:textId="77777777" w:rsidR="00EA6A2E" w:rsidRDefault="00EA6A2E" w:rsidP="00EA6A2E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12.1  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Toxicite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>́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7D5127CC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>Poisson (</w:t>
      </w:r>
      <w:proofErr w:type="spellStart"/>
      <w:r>
        <w:rPr>
          <w:rFonts w:ascii="TimesNewRomanPSMT" w:hAnsi="TimesNewRomanPSMT"/>
          <w:sz w:val="20"/>
          <w:szCs w:val="20"/>
        </w:rPr>
        <w:t>Leuciscus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idus</w:t>
      </w:r>
      <w:proofErr w:type="spellEnd"/>
      <w:r>
        <w:rPr>
          <w:rFonts w:ascii="TimesNewRomanPSMT" w:hAnsi="TimesNewRomanPSMT"/>
          <w:sz w:val="20"/>
          <w:szCs w:val="20"/>
        </w:rPr>
        <w:t>) : 48h CL50&gt; 1000 mg / L (DIN 38412/15)</w:t>
      </w:r>
      <w:r>
        <w:rPr>
          <w:rFonts w:ascii="TimesNewRomanPSMT" w:hAnsi="TimesNewRomanPSMT"/>
          <w:sz w:val="20"/>
          <w:szCs w:val="20"/>
        </w:rPr>
        <w:br/>
        <w:t>Poisson (</w:t>
      </w:r>
      <w:proofErr w:type="spellStart"/>
      <w:r>
        <w:rPr>
          <w:rFonts w:ascii="TimesNewRomanPSMT" w:hAnsi="TimesNewRomanPSMT"/>
          <w:sz w:val="20"/>
          <w:szCs w:val="20"/>
        </w:rPr>
        <w:t>Danio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rerio</w:t>
      </w:r>
      <w:proofErr w:type="spellEnd"/>
      <w:r>
        <w:rPr>
          <w:rFonts w:ascii="TimesNewRomanPSMT" w:hAnsi="TimesNewRomanPSMT"/>
          <w:sz w:val="20"/>
          <w:szCs w:val="20"/>
        </w:rPr>
        <w:t>) 96h CL50&gt; 1000 mg / L (ISO 7346-1 ; Analogie CAS 57-10-3)</w:t>
      </w:r>
      <w:r>
        <w:rPr>
          <w:rFonts w:ascii="TimesNewRomanPSMT" w:hAnsi="TimesNewRomanPSMT"/>
          <w:sz w:val="20"/>
          <w:szCs w:val="20"/>
        </w:rPr>
        <w:br/>
        <w:t>Poisson (</w:t>
      </w:r>
      <w:proofErr w:type="spellStart"/>
      <w:r>
        <w:rPr>
          <w:rFonts w:ascii="TimesNewRomanPSMT" w:hAnsi="TimesNewRomanPSMT"/>
          <w:sz w:val="20"/>
          <w:szCs w:val="20"/>
        </w:rPr>
        <w:t>Leuciscus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idus</w:t>
      </w:r>
      <w:proofErr w:type="spellEnd"/>
      <w:r>
        <w:rPr>
          <w:rFonts w:ascii="TimesNewRomanPSMT" w:hAnsi="TimesNewRomanPSMT"/>
          <w:sz w:val="20"/>
          <w:szCs w:val="20"/>
        </w:rPr>
        <w:t>) 48h CL50&gt; 10000 mg / L (DIN 38412/15, Analogie CAS 57-11-4)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Crustacés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(</w:t>
      </w:r>
      <w:proofErr w:type="spellStart"/>
      <w:r>
        <w:rPr>
          <w:rFonts w:ascii="TimesNewRomanPSMT" w:hAnsi="TimesNewRomanPSMT"/>
          <w:sz w:val="20"/>
          <w:szCs w:val="20"/>
        </w:rPr>
        <w:t>Daphia</w:t>
      </w:r>
      <w:proofErr w:type="spellEnd"/>
      <w:r>
        <w:rPr>
          <w:rFonts w:ascii="TimesNewRomanPSMT" w:hAnsi="TimesNewRomanPSMT"/>
          <w:sz w:val="20"/>
          <w:szCs w:val="20"/>
        </w:rPr>
        <w:t xml:space="preserve"> magna) : 48h CE50&gt; 4,8 mg / L (OCDE 202 ; Analogie CAS 57-10-3)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Crustacés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(</w:t>
      </w:r>
      <w:proofErr w:type="spellStart"/>
      <w:r>
        <w:rPr>
          <w:rFonts w:ascii="TimesNewRomanPSMT" w:hAnsi="TimesNewRomanPSMT"/>
          <w:sz w:val="20"/>
          <w:szCs w:val="20"/>
        </w:rPr>
        <w:t>Daphia</w:t>
      </w:r>
      <w:proofErr w:type="spellEnd"/>
      <w:r>
        <w:rPr>
          <w:rFonts w:ascii="TimesNewRomanPSMT" w:hAnsi="TimesNewRomanPSMT"/>
          <w:sz w:val="20"/>
          <w:szCs w:val="20"/>
        </w:rPr>
        <w:t xml:space="preserve"> magna) : 47h CE50&gt; 32 mg / L (</w:t>
      </w:r>
      <w:proofErr w:type="spellStart"/>
      <w:r>
        <w:rPr>
          <w:rFonts w:ascii="TimesNewRomanPSMT" w:hAnsi="TimesNewRomanPSMT"/>
          <w:sz w:val="20"/>
          <w:szCs w:val="20"/>
        </w:rPr>
        <w:t>Méthode</w:t>
      </w:r>
      <w:proofErr w:type="spellEnd"/>
      <w:r>
        <w:rPr>
          <w:rFonts w:ascii="TimesNewRomanPSMT" w:hAnsi="TimesNewRomanPSMT"/>
          <w:sz w:val="20"/>
          <w:szCs w:val="20"/>
        </w:rPr>
        <w:t xml:space="preserve"> UE C.2; Analogie CAS 57-11-4)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Algea</w:t>
      </w:r>
      <w:proofErr w:type="spellEnd"/>
      <w:r>
        <w:rPr>
          <w:rFonts w:ascii="TimesNewRomanPSMT" w:hAnsi="TimesNewRomanPSMT"/>
          <w:sz w:val="20"/>
          <w:szCs w:val="20"/>
        </w:rPr>
        <w:t xml:space="preserve"> (</w:t>
      </w:r>
      <w:proofErr w:type="spellStart"/>
      <w:r>
        <w:rPr>
          <w:rFonts w:ascii="TimesNewRomanPSMT" w:hAnsi="TimesNewRomanPSMT"/>
          <w:sz w:val="20"/>
          <w:szCs w:val="20"/>
        </w:rPr>
        <w:t>Pseudokirchneriella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subcapitata</w:t>
      </w:r>
      <w:proofErr w:type="spellEnd"/>
      <w:r>
        <w:rPr>
          <w:rFonts w:ascii="TimesNewRomanPSMT" w:hAnsi="TimesNewRomanPSMT"/>
          <w:sz w:val="20"/>
          <w:szCs w:val="20"/>
        </w:rPr>
        <w:t xml:space="preserve">) : 72h CE50&gt; 0,9 mg / L (OCDE 201 ; Analogie CAS 57-10-3) </w:t>
      </w:r>
    </w:p>
    <w:p w14:paraId="2D70BC1D" w14:textId="77777777" w:rsidR="00EA6A2E" w:rsidRDefault="00EA6A2E" w:rsidP="00EA6A2E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12.2  Persistance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et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biodégradabilite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́ : </w:t>
      </w:r>
    </w:p>
    <w:p w14:paraId="58ED79E1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Facilement </w:t>
      </w:r>
      <w:proofErr w:type="spellStart"/>
      <w:r>
        <w:rPr>
          <w:rFonts w:ascii="TimesNewRomanPSMT" w:hAnsi="TimesNewRomanPSMT"/>
          <w:sz w:val="20"/>
          <w:szCs w:val="20"/>
        </w:rPr>
        <w:t>biodégradable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(Test BODIS ; 65% de </w:t>
      </w:r>
      <w:proofErr w:type="spellStart"/>
      <w:r>
        <w:rPr>
          <w:rFonts w:ascii="TimesNewRomanPSMT" w:hAnsi="TimesNewRomanPSMT"/>
          <w:sz w:val="20"/>
          <w:szCs w:val="20"/>
        </w:rPr>
        <w:t>dégradation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après</w:t>
      </w:r>
      <w:proofErr w:type="spellEnd"/>
      <w:r>
        <w:rPr>
          <w:rFonts w:ascii="TimesNewRomanPSMT" w:hAnsi="TimesNewRomanPSMT"/>
          <w:sz w:val="20"/>
          <w:szCs w:val="20"/>
        </w:rPr>
        <w:t xml:space="preserve"> 28 jours ; Analogie CAS 57-10-3) (Test OCDE 301B ; </w:t>
      </w:r>
      <w:proofErr w:type="spellStart"/>
      <w:r>
        <w:rPr>
          <w:rFonts w:ascii="TimesNewRomanPSMT" w:hAnsi="TimesNewRomanPSMT"/>
          <w:sz w:val="20"/>
          <w:szCs w:val="20"/>
        </w:rPr>
        <w:t>dégradation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65% </w:t>
      </w:r>
      <w:proofErr w:type="spellStart"/>
      <w:r>
        <w:rPr>
          <w:rFonts w:ascii="TimesNewRomanPSMT" w:hAnsi="TimesNewRomanPSMT"/>
          <w:sz w:val="20"/>
          <w:szCs w:val="20"/>
        </w:rPr>
        <w:t>après</w:t>
      </w:r>
      <w:proofErr w:type="spellEnd"/>
      <w:r>
        <w:rPr>
          <w:rFonts w:ascii="TimesNewRomanPSMT" w:hAnsi="TimesNewRomanPSMT"/>
          <w:sz w:val="20"/>
          <w:szCs w:val="20"/>
        </w:rPr>
        <w:t xml:space="preserve"> 28 jours ; analogie CAS 57-11-4) </w:t>
      </w:r>
    </w:p>
    <w:p w14:paraId="2969824F" w14:textId="77777777" w:rsidR="00EA6A2E" w:rsidRDefault="00EA6A2E" w:rsidP="00EA6A2E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lastRenderedPageBreak/>
        <w:t>12.3  Potentiel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de bioaccumulation : </w:t>
      </w:r>
    </w:p>
    <w:p w14:paraId="4FB8D4CF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BCF (28 jours) : 225 L / kg (analogie C12 acide gras-sodium </w:t>
      </w:r>
      <w:proofErr w:type="spellStart"/>
      <w:r>
        <w:rPr>
          <w:rFonts w:ascii="TimesNewRomanPSMT" w:hAnsi="TimesNewRomanPSMT"/>
          <w:sz w:val="20"/>
          <w:szCs w:val="20"/>
        </w:rPr>
        <w:t>laurate</w:t>
      </w:r>
      <w:proofErr w:type="spellEnd"/>
      <w:r>
        <w:rPr>
          <w:rFonts w:ascii="TimesNewRomanPSMT" w:hAnsi="TimesNewRomanPSMT"/>
          <w:sz w:val="20"/>
          <w:szCs w:val="20"/>
        </w:rPr>
        <w:t xml:space="preserve">) </w:t>
      </w:r>
    </w:p>
    <w:p w14:paraId="00C8E750" w14:textId="77777777" w:rsidR="00EA6A2E" w:rsidRDefault="00EA6A2E" w:rsidP="00EA6A2E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12.4  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Mobilite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>́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dans le sol : </w:t>
      </w:r>
    </w:p>
    <w:p w14:paraId="365EA0EF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Log </w:t>
      </w:r>
      <w:proofErr w:type="spellStart"/>
      <w:r>
        <w:rPr>
          <w:rFonts w:ascii="TimesNewRomanPSMT" w:hAnsi="TimesNewRomanPSMT"/>
          <w:sz w:val="20"/>
          <w:szCs w:val="20"/>
        </w:rPr>
        <w:t>Koc</w:t>
      </w:r>
      <w:proofErr w:type="spellEnd"/>
      <w:r>
        <w:rPr>
          <w:rFonts w:ascii="TimesNewRomanPSMT" w:hAnsi="TimesNewRomanPSMT"/>
          <w:sz w:val="20"/>
          <w:szCs w:val="20"/>
        </w:rPr>
        <w:t xml:space="preserve"> : 4,12 - 4,71 </w:t>
      </w:r>
    </w:p>
    <w:p w14:paraId="6750C57E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(Analogie CAS 57-10-3 et 57-11-4 : </w:t>
      </w:r>
      <w:proofErr w:type="spellStart"/>
      <w:r>
        <w:rPr>
          <w:rFonts w:ascii="TimesNewRomanPSMT" w:hAnsi="TimesNewRomanPSMT"/>
          <w:sz w:val="20"/>
          <w:szCs w:val="20"/>
        </w:rPr>
        <w:t>estimée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base de calcul sur le programme KOCWIN) </w:t>
      </w:r>
    </w:p>
    <w:p w14:paraId="20B561D2" w14:textId="77777777" w:rsidR="00EA6A2E" w:rsidRDefault="00EA6A2E" w:rsidP="00EA6A2E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12.5  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Résultats</w:t>
      </w:r>
      <w:proofErr w:type="spellEnd"/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des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évaluations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PBT et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vPvB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6976701B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Aucune substance PBT ou </w:t>
      </w:r>
      <w:proofErr w:type="spellStart"/>
      <w:r>
        <w:rPr>
          <w:rFonts w:ascii="TimesNewRomanPSMT" w:hAnsi="TimesNewRomanPSMT"/>
          <w:sz w:val="20"/>
          <w:szCs w:val="20"/>
        </w:rPr>
        <w:t>vPvB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7FB7AC33" w14:textId="77777777" w:rsidR="00EA6A2E" w:rsidRDefault="00EA6A2E" w:rsidP="00EA6A2E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12.6  Autres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effets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indésirables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44560C0D" w14:textId="77777777" w:rsidR="00EA6A2E" w:rsidRDefault="00EA6A2E" w:rsidP="00EA6A2E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Aucun effet important ou danger critique connu. </w:t>
      </w:r>
    </w:p>
    <w:p w14:paraId="34191B60" w14:textId="77777777" w:rsidR="00EA6A2E" w:rsidRDefault="00EA6A2E" w:rsidP="00EA6A2E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13. CONSIDERATIONS RELATIVES A L’ELIMINATION : </w:t>
      </w:r>
    </w:p>
    <w:p w14:paraId="423C04BF" w14:textId="77777777" w:rsidR="00EA6A2E" w:rsidRDefault="00EA6A2E" w:rsidP="00EA6A2E">
      <w:pPr>
        <w:pStyle w:val="NormalWeb"/>
      </w:pPr>
      <w:proofErr w:type="spellStart"/>
      <w:r>
        <w:rPr>
          <w:rFonts w:ascii="TimesNewRomanPS" w:hAnsi="TimesNewRomanPS"/>
          <w:b/>
          <w:bCs/>
          <w:sz w:val="20"/>
          <w:szCs w:val="20"/>
        </w:rPr>
        <w:t>Méthodes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 traitement des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déchets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138EE92F" w14:textId="77777777" w:rsidR="00EA6A2E" w:rsidRDefault="00EA6A2E" w:rsidP="00EA6A2E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Éliminer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conformément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la </w:t>
      </w:r>
      <w:proofErr w:type="spellStart"/>
      <w:r>
        <w:rPr>
          <w:rFonts w:ascii="TimesNewRomanPSMT" w:hAnsi="TimesNewRomanPSMT"/>
          <w:sz w:val="20"/>
          <w:szCs w:val="20"/>
        </w:rPr>
        <w:t>réglementation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locale. Ne pas jeter par les </w:t>
      </w:r>
      <w:proofErr w:type="spellStart"/>
      <w:r>
        <w:rPr>
          <w:rFonts w:ascii="TimesNewRomanPSMT" w:hAnsi="TimesNewRomanPSMT"/>
          <w:sz w:val="20"/>
          <w:szCs w:val="20"/>
        </w:rPr>
        <w:t>éviers</w:t>
      </w:r>
      <w:proofErr w:type="spellEnd"/>
      <w:r>
        <w:rPr>
          <w:rFonts w:ascii="TimesNewRomanPSMT" w:hAnsi="TimesNewRomanPSMT"/>
          <w:sz w:val="20"/>
          <w:szCs w:val="20"/>
        </w:rPr>
        <w:t xml:space="preserve">, les canalisations ou dans l'environnement </w:t>
      </w:r>
      <w:proofErr w:type="spellStart"/>
      <w:r>
        <w:rPr>
          <w:rFonts w:ascii="TimesNewRomanPSMT" w:hAnsi="TimesNewRomanPSMT"/>
          <w:sz w:val="20"/>
          <w:szCs w:val="20"/>
        </w:rPr>
        <w:t>immédiat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518B02F8" w14:textId="77777777" w:rsidR="00E15855" w:rsidRDefault="00E15855" w:rsidP="00E15855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14. INFORMATIONS RELATIVES AU TRANSPORT : </w:t>
      </w:r>
    </w:p>
    <w:p w14:paraId="5CCF6DFA" w14:textId="77777777" w:rsidR="00E15855" w:rsidRDefault="00E15855" w:rsidP="00E15855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14.1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Numéro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UN : </w:t>
      </w:r>
      <w:r>
        <w:rPr>
          <w:rFonts w:ascii="TimesNewRomanPSMT" w:hAnsi="TimesNewRomanPSMT"/>
          <w:sz w:val="20"/>
          <w:szCs w:val="20"/>
        </w:rPr>
        <w:t>Aucun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>14.2 Nom d'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expédition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des Nations Unies : </w:t>
      </w:r>
      <w:r>
        <w:rPr>
          <w:rFonts w:ascii="TimesNewRomanPSMT" w:hAnsi="TimesNewRomanPSMT"/>
          <w:sz w:val="20"/>
          <w:szCs w:val="20"/>
        </w:rPr>
        <w:t>Aucun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14.3 Classe de danger pour le transport : </w:t>
      </w:r>
      <w:r>
        <w:rPr>
          <w:rFonts w:ascii="TimesNewRomanPSMT" w:hAnsi="TimesNewRomanPSMT"/>
          <w:sz w:val="20"/>
          <w:szCs w:val="20"/>
        </w:rPr>
        <w:t xml:space="preserve">Non dangereux selon RID / ADR, GGVS / GGVE, ADNR, IMDG, </w:t>
      </w:r>
    </w:p>
    <w:p w14:paraId="1CBAEEC2" w14:textId="77777777" w:rsidR="00E15855" w:rsidRDefault="00E15855" w:rsidP="00E15855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ICAO-TI / IATA-DGR </w:t>
      </w:r>
    </w:p>
    <w:p w14:paraId="4A664146" w14:textId="77777777" w:rsidR="00E15855" w:rsidRDefault="00E15855" w:rsidP="00E15855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14.4  Groupe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d’emballage : </w:t>
      </w:r>
      <w:r>
        <w:rPr>
          <w:rFonts w:ascii="TimesNewRomanPSMT" w:hAnsi="TimesNewRomanPSMT"/>
          <w:sz w:val="20"/>
          <w:szCs w:val="20"/>
        </w:rPr>
        <w:t xml:space="preserve">Aucun </w:t>
      </w:r>
    </w:p>
    <w:p w14:paraId="4FE2E821" w14:textId="77777777" w:rsidR="00E15855" w:rsidRDefault="00E15855" w:rsidP="00E15855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14.5  Danger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pour l'environnement Polluant marin (Oui / Non) : </w:t>
      </w:r>
      <w:r>
        <w:rPr>
          <w:rFonts w:ascii="TimesNewRomanPSMT" w:hAnsi="TimesNewRomanPSMT"/>
          <w:sz w:val="20"/>
          <w:szCs w:val="20"/>
        </w:rPr>
        <w:t xml:space="preserve">Non </w:t>
      </w:r>
    </w:p>
    <w:p w14:paraId="4EF021B0" w14:textId="77777777" w:rsidR="00E15855" w:rsidRDefault="00E15855" w:rsidP="00E15855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14.6  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Précautions</w:t>
      </w:r>
      <w:proofErr w:type="spellEnd"/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particulières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à prendre par l’utilisateur </w:t>
      </w:r>
      <w:r>
        <w:rPr>
          <w:rFonts w:ascii="TimesNewRomanPSMT" w:hAnsi="TimesNewRomanPSMT"/>
          <w:sz w:val="20"/>
          <w:szCs w:val="20"/>
        </w:rPr>
        <w:t xml:space="preserve">: Non disponible </w:t>
      </w:r>
    </w:p>
    <w:p w14:paraId="6D4945C2" w14:textId="77777777" w:rsidR="00E15855" w:rsidRDefault="00E15855" w:rsidP="00E15855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" w:hAnsi="TimesNewRomanPS"/>
          <w:b/>
          <w:bCs/>
          <w:sz w:val="20"/>
          <w:szCs w:val="20"/>
        </w:rPr>
        <w:t>14.7  Transport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en vrac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conformément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à l'annexe II de MARPOL 73/78 et au code IBC : </w:t>
      </w:r>
      <w:proofErr w:type="spellStart"/>
      <w:r>
        <w:rPr>
          <w:rFonts w:ascii="TimesNewRomanPSMT" w:hAnsi="TimesNewRomanPSMT"/>
          <w:sz w:val="20"/>
          <w:szCs w:val="20"/>
        </w:rPr>
        <w:t>catégorie</w:t>
      </w:r>
      <w:proofErr w:type="spellEnd"/>
      <w:r>
        <w:rPr>
          <w:rFonts w:ascii="TimesNewRomanPSMT" w:hAnsi="TimesNewRomanPSMT"/>
          <w:sz w:val="20"/>
          <w:szCs w:val="20"/>
        </w:rPr>
        <w:t xml:space="preserve"> Y </w:t>
      </w:r>
    </w:p>
    <w:p w14:paraId="0CFC3A82" w14:textId="5CFDD3A9" w:rsidR="00E15855" w:rsidRDefault="00E15855" w:rsidP="00E15855">
      <w:pPr>
        <w:pStyle w:val="NormalWeb"/>
      </w:pPr>
    </w:p>
    <w:p w14:paraId="37F9E9C3" w14:textId="77777777" w:rsidR="00E15855" w:rsidRDefault="00E15855" w:rsidP="00E15855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 INFORMATIONS REGLEMENTAIRES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249118D5" w14:textId="77777777" w:rsidR="00CD54B0" w:rsidRDefault="00CD54B0" w:rsidP="00CD54B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15.1 UE : </w:t>
      </w:r>
    </w:p>
    <w:p w14:paraId="6D725EDF" w14:textId="77777777" w:rsidR="00CD54B0" w:rsidRDefault="00CD54B0" w:rsidP="00CD54B0">
      <w:pPr>
        <w:pStyle w:val="NormalWeb"/>
      </w:pPr>
      <w:r>
        <w:rPr>
          <w:rFonts w:ascii="TimesNewRomanPSMT" w:hAnsi="TimesNewRomanPSMT"/>
          <w:sz w:val="20"/>
          <w:szCs w:val="20"/>
        </w:rPr>
        <w:t>Listé dans EINECS (</w:t>
      </w:r>
      <w:proofErr w:type="spellStart"/>
      <w:r>
        <w:rPr>
          <w:rFonts w:ascii="TimesNewRomanPSMT" w:hAnsi="TimesNewRomanPSMT"/>
          <w:sz w:val="20"/>
          <w:szCs w:val="20"/>
        </w:rPr>
        <w:t>Existing</w:t>
      </w:r>
      <w:proofErr w:type="spellEnd"/>
      <w:r>
        <w:rPr>
          <w:rFonts w:ascii="TimesNewRomanPSMT" w:hAnsi="TimesNewRomanPSMT"/>
          <w:sz w:val="20"/>
          <w:szCs w:val="20"/>
        </w:rPr>
        <w:t xml:space="preserve"> Inventory of </w:t>
      </w:r>
      <w:proofErr w:type="spellStart"/>
      <w:r>
        <w:rPr>
          <w:rFonts w:ascii="TimesNewRomanPSMT" w:hAnsi="TimesNewRomanPSMT"/>
          <w:sz w:val="20"/>
          <w:szCs w:val="20"/>
        </w:rPr>
        <w:t>Existing</w:t>
      </w:r>
      <w:proofErr w:type="spellEnd"/>
      <w:r>
        <w:rPr>
          <w:rFonts w:ascii="TimesNewRomanPSMT" w:hAnsi="TimesNewRomanPSMT"/>
          <w:sz w:val="20"/>
          <w:szCs w:val="20"/>
        </w:rPr>
        <w:t xml:space="preserve"> Commercial Chemical Substances) </w:t>
      </w:r>
    </w:p>
    <w:p w14:paraId="57AE7364" w14:textId="77777777" w:rsidR="00CD54B0" w:rsidRDefault="00CD54B0" w:rsidP="00CD54B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15.2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États-Unis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5A8DB033" w14:textId="77777777" w:rsidR="00CD54B0" w:rsidRDefault="00CD54B0" w:rsidP="00CD54B0">
      <w:pPr>
        <w:pStyle w:val="NormalWeb"/>
      </w:pPr>
      <w:r>
        <w:rPr>
          <w:rFonts w:ascii="TimesNewRomanPSMT" w:hAnsi="TimesNewRomanPSMT"/>
          <w:sz w:val="20"/>
          <w:szCs w:val="20"/>
        </w:rPr>
        <w:t>Listé dans TSCA (</w:t>
      </w:r>
      <w:proofErr w:type="spellStart"/>
      <w:r>
        <w:rPr>
          <w:rFonts w:ascii="TimesNewRomanPSMT" w:hAnsi="TimesNewRomanPSMT"/>
          <w:sz w:val="20"/>
          <w:szCs w:val="20"/>
        </w:rPr>
        <w:t>Toxic</w:t>
      </w:r>
      <w:proofErr w:type="spellEnd"/>
      <w:r>
        <w:rPr>
          <w:rFonts w:ascii="TimesNewRomanPSMT" w:hAnsi="TimesNewRomanPSMT"/>
          <w:sz w:val="20"/>
          <w:szCs w:val="20"/>
        </w:rPr>
        <w:t xml:space="preserve"> substances control </w:t>
      </w:r>
      <w:proofErr w:type="spellStart"/>
      <w:r>
        <w:rPr>
          <w:rFonts w:ascii="TimesNewRomanPSMT" w:hAnsi="TimesNewRomanPSMT"/>
          <w:sz w:val="20"/>
          <w:szCs w:val="20"/>
        </w:rPr>
        <w:t>act</w:t>
      </w:r>
      <w:proofErr w:type="spellEnd"/>
      <w:r>
        <w:rPr>
          <w:rFonts w:ascii="TimesNewRomanPSMT" w:hAnsi="TimesNewRomanPSMT"/>
          <w:sz w:val="20"/>
          <w:szCs w:val="20"/>
        </w:rPr>
        <w:t xml:space="preserve">) </w:t>
      </w:r>
    </w:p>
    <w:p w14:paraId="08AD6B73" w14:textId="77777777" w:rsidR="00CD54B0" w:rsidRDefault="00CD54B0" w:rsidP="00CD54B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15.3 Australie : </w:t>
      </w:r>
    </w:p>
    <w:p w14:paraId="7FFFC2DC" w14:textId="77777777" w:rsidR="00CD54B0" w:rsidRDefault="00CD54B0" w:rsidP="00CD54B0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lastRenderedPageBreak/>
        <w:t>Répertorie</w:t>
      </w:r>
      <w:proofErr w:type="spellEnd"/>
      <w:r>
        <w:rPr>
          <w:rFonts w:ascii="TimesNewRomanPSMT" w:hAnsi="TimesNewRomanPSMT"/>
          <w:sz w:val="20"/>
          <w:szCs w:val="20"/>
        </w:rPr>
        <w:t>́ dans l'AICS (</w:t>
      </w:r>
      <w:proofErr w:type="spellStart"/>
      <w:r>
        <w:rPr>
          <w:rFonts w:ascii="TimesNewRomanPSMT" w:hAnsi="TimesNewRomanPSMT"/>
          <w:sz w:val="20"/>
          <w:szCs w:val="20"/>
        </w:rPr>
        <w:t>Australian</w:t>
      </w:r>
      <w:proofErr w:type="spellEnd"/>
      <w:r>
        <w:rPr>
          <w:rFonts w:ascii="TimesNewRomanPSMT" w:hAnsi="TimesNewRomanPSMT"/>
          <w:sz w:val="20"/>
          <w:szCs w:val="20"/>
        </w:rPr>
        <w:t xml:space="preserve"> Inventory Chemical Substances) </w:t>
      </w:r>
    </w:p>
    <w:p w14:paraId="11E378F2" w14:textId="77777777" w:rsidR="00CD54B0" w:rsidRDefault="00CD54B0" w:rsidP="00CD54B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15.4 Chine : </w:t>
      </w:r>
    </w:p>
    <w:p w14:paraId="5EA39B87" w14:textId="77777777" w:rsidR="00CD54B0" w:rsidRDefault="00CD54B0" w:rsidP="00CD54B0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Listé dans l'IECSC (Inventaire des substances chimiques existantes en Chine) </w:t>
      </w:r>
    </w:p>
    <w:p w14:paraId="45926C0D" w14:textId="77777777" w:rsidR="00CD54B0" w:rsidRDefault="00CD54B0" w:rsidP="00CD54B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15.5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Corée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1D47F8AE" w14:textId="77777777" w:rsidR="00CD54B0" w:rsidRDefault="00CD54B0" w:rsidP="00CD54B0">
      <w:pPr>
        <w:pStyle w:val="NormalWeb"/>
      </w:pPr>
      <w:r>
        <w:rPr>
          <w:rFonts w:ascii="TimesNewRomanPSMT" w:hAnsi="TimesNewRomanPSMT"/>
          <w:sz w:val="20"/>
          <w:szCs w:val="20"/>
        </w:rPr>
        <w:t>Listé dans ECL (</w:t>
      </w:r>
      <w:proofErr w:type="spellStart"/>
      <w:r>
        <w:rPr>
          <w:rFonts w:ascii="TimesNewRomanPSMT" w:hAnsi="TimesNewRomanPSMT"/>
          <w:sz w:val="20"/>
          <w:szCs w:val="20"/>
        </w:rPr>
        <w:t>Existing</w:t>
      </w:r>
      <w:proofErr w:type="spellEnd"/>
      <w:r>
        <w:rPr>
          <w:rFonts w:ascii="TimesNewRomanPSMT" w:hAnsi="TimesNewRomanPSMT"/>
          <w:sz w:val="20"/>
          <w:szCs w:val="20"/>
        </w:rPr>
        <w:t xml:space="preserve"> Chemical List) </w:t>
      </w:r>
    </w:p>
    <w:p w14:paraId="6D1BE966" w14:textId="77777777" w:rsidR="00CD54B0" w:rsidRDefault="00CD54B0" w:rsidP="00CD54B0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15.6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Taïwan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: </w:t>
      </w:r>
    </w:p>
    <w:p w14:paraId="62D5E51D" w14:textId="77777777" w:rsidR="00CD54B0" w:rsidRDefault="00CD54B0" w:rsidP="00CD54B0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Listé dans TCSI (Taiwan Chemical Substance Inventory) </w:t>
      </w:r>
    </w:p>
    <w:p w14:paraId="5F41C0FC" w14:textId="77777777" w:rsidR="00CD54B0" w:rsidRDefault="00CD54B0" w:rsidP="00CD54B0">
      <w:pPr>
        <w:pStyle w:val="NormalWeb"/>
      </w:pPr>
      <w:r>
        <w:t xml:space="preserve">16. </w:t>
      </w:r>
      <w:r>
        <w:rPr>
          <w:rFonts w:ascii="TimesNewRomanPS" w:hAnsi="TimesNewRomanPS"/>
          <w:b/>
          <w:bCs/>
          <w:sz w:val="20"/>
          <w:szCs w:val="20"/>
        </w:rPr>
        <w:t xml:space="preserve">AUTRES DONNEES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7A599D62" w14:textId="3CD3FFB7" w:rsidR="00CD54B0" w:rsidRDefault="00CD54B0" w:rsidP="00CD54B0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Phrase(s) R : aucune </w:t>
      </w:r>
      <w:r>
        <w:br/>
      </w:r>
      <w:r>
        <w:rPr>
          <w:rFonts w:ascii="TimesNewRomanPSMT" w:hAnsi="TimesNewRomanPSMT"/>
          <w:sz w:val="20"/>
          <w:szCs w:val="20"/>
        </w:rPr>
        <w:t xml:space="preserve">Phrase(s) S : aucune </w:t>
      </w:r>
    </w:p>
    <w:p w14:paraId="227E0755" w14:textId="77777777" w:rsidR="00D70014" w:rsidRDefault="00D70014" w:rsidP="00D70014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17. AUTRES INFORMATIONS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 xml:space="preserve">Restriction </w:t>
      </w:r>
      <w:proofErr w:type="spellStart"/>
      <w:r>
        <w:rPr>
          <w:rFonts w:ascii="TimesNewRomanPSMT" w:hAnsi="TimesNewRomanPSMT"/>
          <w:sz w:val="20"/>
          <w:szCs w:val="20"/>
        </w:rPr>
        <w:t>recommandée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l’utilisation de ce produit : pas de restriction dans le cas d’utilisation conforme de ce produit. </w:t>
      </w:r>
    </w:p>
    <w:p w14:paraId="57EBFD87" w14:textId="77777777" w:rsidR="00D70014" w:rsidRDefault="00D70014" w:rsidP="00D70014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Cette fiche </w:t>
      </w:r>
      <w:proofErr w:type="spellStart"/>
      <w:r>
        <w:rPr>
          <w:rFonts w:ascii="TimesNewRomanPSMT" w:hAnsi="TimesNewRomanPSMT"/>
          <w:sz w:val="20"/>
          <w:szCs w:val="20"/>
        </w:rPr>
        <w:t>complète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notices techniques d’utilisation mais ne les remplace pas. Les renseignements qu’elle contient</w:t>
      </w:r>
      <w:r>
        <w:rPr>
          <w:rFonts w:ascii="TimesNewRomanPSMT" w:hAnsi="TimesNewRomanPSMT"/>
          <w:sz w:val="20"/>
          <w:szCs w:val="20"/>
        </w:rPr>
        <w:br/>
        <w:t xml:space="preserve">sont </w:t>
      </w:r>
      <w:proofErr w:type="spellStart"/>
      <w:r>
        <w:rPr>
          <w:rFonts w:ascii="TimesNewRomanPSMT" w:hAnsi="TimesNewRomanPSMT"/>
          <w:sz w:val="20"/>
          <w:szCs w:val="20"/>
        </w:rPr>
        <w:t>basés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sur l’</w:t>
      </w:r>
      <w:proofErr w:type="spellStart"/>
      <w:r>
        <w:rPr>
          <w:rFonts w:ascii="TimesNewRomanPSMT" w:hAnsi="TimesNewRomanPSMT"/>
          <w:sz w:val="20"/>
          <w:szCs w:val="20"/>
        </w:rPr>
        <w:t>état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nos connaissances relatives au produit concerné à la date </w:t>
      </w:r>
      <w:proofErr w:type="spellStart"/>
      <w:r>
        <w:rPr>
          <w:rFonts w:ascii="TimesNewRomanPSMT" w:hAnsi="TimesNewRomanPSMT"/>
          <w:sz w:val="20"/>
          <w:szCs w:val="20"/>
        </w:rPr>
        <w:t>indiquée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Ils sont </w:t>
      </w:r>
      <w:proofErr w:type="spellStart"/>
      <w:r>
        <w:rPr>
          <w:rFonts w:ascii="TimesNewRomanPSMT" w:hAnsi="TimesNewRomanPSMT"/>
          <w:sz w:val="20"/>
          <w:szCs w:val="20"/>
        </w:rPr>
        <w:t>donnés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bonne foi. Ces informations ne sont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qu’à titre indicatif pour permettre les </w:t>
      </w:r>
      <w:proofErr w:type="spellStart"/>
      <w:r>
        <w:rPr>
          <w:rFonts w:ascii="TimesNewRomanPSMT" w:hAnsi="TimesNewRomanPSMT"/>
          <w:sz w:val="20"/>
          <w:szCs w:val="20"/>
        </w:rPr>
        <w:t>opérations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manipulation, fabrication, stockage, transport, distribution, mise 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 xml:space="preserve">̀ disposition, utilisation et </w:t>
      </w:r>
      <w:proofErr w:type="spellStart"/>
      <w:r>
        <w:rPr>
          <w:rFonts w:ascii="TimesNewRomanPSMT" w:hAnsi="TimesNewRomanPSMT"/>
          <w:sz w:val="20"/>
          <w:szCs w:val="20"/>
        </w:rPr>
        <w:t>élimination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, en </w:t>
      </w:r>
      <w:proofErr w:type="spellStart"/>
      <w:r>
        <w:rPr>
          <w:rFonts w:ascii="TimesNewRomanPSMT" w:hAnsi="TimesNewRomanPSMT"/>
          <w:sz w:val="20"/>
          <w:szCs w:val="20"/>
        </w:rPr>
        <w:t>état</w:t>
      </w:r>
      <w:proofErr w:type="spellEnd"/>
      <w:r>
        <w:rPr>
          <w:rFonts w:ascii="TimesNewRomanPSMT" w:hAnsi="TimesNewRomanPSMT"/>
          <w:sz w:val="20"/>
          <w:szCs w:val="20"/>
        </w:rPr>
        <w:t xml:space="preserve"> satisfaisant de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et donc ne devraient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interprétées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comme une garantie ou </w:t>
      </w:r>
      <w:proofErr w:type="spellStart"/>
      <w:r>
        <w:rPr>
          <w:rFonts w:ascii="TimesNewRomanPSMT" w:hAnsi="TimesNewRomanPSMT"/>
          <w:sz w:val="20"/>
          <w:szCs w:val="20"/>
        </w:rPr>
        <w:t>considérées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comme des </w:t>
      </w:r>
      <w:proofErr w:type="spellStart"/>
      <w:r>
        <w:rPr>
          <w:rFonts w:ascii="TimesNewRomanPSMT" w:hAnsi="TimesNewRomanPSMT"/>
          <w:sz w:val="20"/>
          <w:szCs w:val="20"/>
        </w:rPr>
        <w:t>spécifications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qualite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́. Ces informations ne concernent en outre que le produit </w:t>
      </w:r>
      <w:proofErr w:type="spellStart"/>
      <w:r>
        <w:rPr>
          <w:rFonts w:ascii="TimesNewRomanPSMT" w:hAnsi="TimesNewRomanPSMT"/>
          <w:sz w:val="20"/>
          <w:szCs w:val="20"/>
        </w:rPr>
        <w:t>nommément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désigne</w:t>
      </w:r>
      <w:proofErr w:type="spellEnd"/>
      <w:r>
        <w:rPr>
          <w:rFonts w:ascii="TimesNewRomanPSMT" w:hAnsi="TimesNewRomanPSMT"/>
          <w:sz w:val="20"/>
          <w:szCs w:val="20"/>
        </w:rPr>
        <w:t xml:space="preserve">́ et, sauf indication contraire </w:t>
      </w:r>
      <w:proofErr w:type="spellStart"/>
      <w:r>
        <w:rPr>
          <w:rFonts w:ascii="TimesNewRomanPSMT" w:hAnsi="TimesNewRomanPSMT"/>
          <w:sz w:val="20"/>
          <w:szCs w:val="20"/>
        </w:rPr>
        <w:t>spécifique</w:t>
      </w:r>
      <w:proofErr w:type="spellEnd"/>
      <w:r>
        <w:rPr>
          <w:rFonts w:ascii="TimesNewRomanPSMT" w:hAnsi="TimesNewRomanPSMT"/>
          <w:sz w:val="20"/>
          <w:szCs w:val="20"/>
        </w:rPr>
        <w:t xml:space="preserve">, elles ne peuvent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applicables en cas de </w:t>
      </w:r>
      <w:proofErr w:type="spellStart"/>
      <w:r>
        <w:rPr>
          <w:rFonts w:ascii="TimesNewRomanPSMT" w:hAnsi="TimesNewRomanPSMT"/>
          <w:sz w:val="20"/>
          <w:szCs w:val="20"/>
        </w:rPr>
        <w:t>mélange</w:t>
      </w:r>
      <w:proofErr w:type="spellEnd"/>
      <w:r>
        <w:rPr>
          <w:rFonts w:ascii="TimesNewRomanPSMT" w:hAnsi="TimesNewRomanPSMT"/>
          <w:sz w:val="20"/>
          <w:szCs w:val="20"/>
        </w:rPr>
        <w:t xml:space="preserve"> du produit en question avec d’autres substances ou utilisables pour tout </w:t>
      </w:r>
      <w:proofErr w:type="spellStart"/>
      <w:r>
        <w:rPr>
          <w:rFonts w:ascii="TimesNewRomanPSMT" w:hAnsi="TimesNewRomanPSMT"/>
          <w:sz w:val="20"/>
          <w:szCs w:val="20"/>
        </w:rPr>
        <w:t>procéde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de fabrication. L’attention des utilisateurs est en outre </w:t>
      </w:r>
      <w:proofErr w:type="spellStart"/>
      <w:r>
        <w:rPr>
          <w:rFonts w:ascii="TimesNewRomanPSMT" w:hAnsi="TimesNewRomanPSMT"/>
          <w:sz w:val="20"/>
          <w:szCs w:val="20"/>
        </w:rPr>
        <w:t>attirée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sur les risques </w:t>
      </w:r>
      <w:proofErr w:type="spellStart"/>
      <w:r>
        <w:rPr>
          <w:rFonts w:ascii="TimesNewRomanPSMT" w:hAnsi="TimesNewRomanPSMT"/>
          <w:sz w:val="20"/>
          <w:szCs w:val="20"/>
        </w:rPr>
        <w:t>éventuellement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encourus lorsqu’un produit est </w:t>
      </w:r>
      <w:proofErr w:type="spellStart"/>
      <w:r>
        <w:rPr>
          <w:rFonts w:ascii="TimesNewRomanPSMT" w:hAnsi="TimesNewRomanPSMT"/>
          <w:sz w:val="20"/>
          <w:szCs w:val="20"/>
        </w:rPr>
        <w:t>utilise</w:t>
      </w:r>
      <w:proofErr w:type="spellEnd"/>
      <w:r>
        <w:rPr>
          <w:rFonts w:ascii="TimesNewRomanPSMT" w:hAnsi="TimesNewRomanPSMT"/>
          <w:sz w:val="20"/>
          <w:szCs w:val="20"/>
        </w:rPr>
        <w:t xml:space="preserve">́ à d’autres usages que ceux pour lesquels il est </w:t>
      </w:r>
      <w:proofErr w:type="spellStart"/>
      <w:r>
        <w:rPr>
          <w:rFonts w:ascii="TimesNewRomanPSMT" w:hAnsi="TimesNewRomanPSMT"/>
          <w:sz w:val="20"/>
          <w:szCs w:val="20"/>
        </w:rPr>
        <w:t>conçu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1369FFFC" w14:textId="77777777" w:rsidR="00D70014" w:rsidRDefault="00D70014" w:rsidP="00D70014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Elle ne dispense en aucun cas l’utilisateur de </w:t>
      </w:r>
      <w:proofErr w:type="spellStart"/>
      <w:r>
        <w:rPr>
          <w:rFonts w:ascii="TimesNewRomanPSMT" w:hAnsi="TimesNewRomanPSMT"/>
          <w:sz w:val="20"/>
          <w:szCs w:val="20"/>
        </w:rPr>
        <w:t>connaître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et d’appliquer l’ensemble des textes </w:t>
      </w:r>
      <w:proofErr w:type="spellStart"/>
      <w:r>
        <w:rPr>
          <w:rFonts w:ascii="TimesNewRomanPSMT" w:hAnsi="TimesNewRomanPSMT"/>
          <w:sz w:val="20"/>
          <w:szCs w:val="20"/>
        </w:rPr>
        <w:t>réglementant</w:t>
      </w:r>
      <w:proofErr w:type="spellEnd"/>
      <w:r>
        <w:rPr>
          <w:rFonts w:ascii="TimesNewRomanPSMT" w:hAnsi="TimesNewRomanPSMT"/>
          <w:sz w:val="20"/>
          <w:szCs w:val="20"/>
        </w:rPr>
        <w:t xml:space="preserve"> son </w:t>
      </w:r>
      <w:proofErr w:type="spellStart"/>
      <w:r>
        <w:rPr>
          <w:rFonts w:ascii="TimesNewRomanPSMT" w:hAnsi="TimesNewRomanPSMT"/>
          <w:sz w:val="20"/>
          <w:szCs w:val="20"/>
        </w:rPr>
        <w:t>activite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́. Il prendra sous sa seule </w:t>
      </w:r>
      <w:proofErr w:type="spellStart"/>
      <w:r>
        <w:rPr>
          <w:rFonts w:ascii="TimesNewRomanPSMT" w:hAnsi="TimesNewRomanPSMT"/>
          <w:sz w:val="20"/>
          <w:szCs w:val="20"/>
        </w:rPr>
        <w:t>responsabilite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les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liées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l’utilisation qu’il fait du produit. </w:t>
      </w:r>
    </w:p>
    <w:p w14:paraId="5EF607BE" w14:textId="77777777" w:rsidR="00D70014" w:rsidRDefault="00D70014" w:rsidP="00CD54B0">
      <w:pPr>
        <w:pStyle w:val="NormalWeb"/>
      </w:pPr>
    </w:p>
    <w:p w14:paraId="435D396F" w14:textId="78956686" w:rsidR="00E15855" w:rsidRDefault="00E15855" w:rsidP="00E15855">
      <w:pPr>
        <w:pStyle w:val="NormalWeb"/>
      </w:pPr>
    </w:p>
    <w:p w14:paraId="622E7DA7" w14:textId="77777777" w:rsidR="00EA6A2E" w:rsidRDefault="00EA6A2E" w:rsidP="00F861ED">
      <w:pPr>
        <w:pStyle w:val="NormalWeb"/>
      </w:pPr>
    </w:p>
    <w:p w14:paraId="56D71108" w14:textId="497E47A4" w:rsidR="00F861ED" w:rsidRDefault="00F861ED" w:rsidP="00F861ED">
      <w:pPr>
        <w:pStyle w:val="NormalWeb"/>
      </w:pPr>
    </w:p>
    <w:p w14:paraId="5542ACC8" w14:textId="77777777" w:rsidR="00AF4C3F" w:rsidRDefault="00AF4C3F" w:rsidP="00DB68BE">
      <w:pPr>
        <w:pStyle w:val="NormalWeb"/>
      </w:pPr>
    </w:p>
    <w:p w14:paraId="33270A17" w14:textId="22E75B98" w:rsidR="00AF6BC0" w:rsidRDefault="00AF6BC0" w:rsidP="00AF6BC0">
      <w:pPr>
        <w:spacing w:after="224"/>
      </w:pPr>
    </w:p>
    <w:sectPr w:rsidR="00AF6B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4C306" w14:textId="77777777" w:rsidR="00AF6BC0" w:rsidRDefault="00AF6BC0" w:rsidP="00AF6BC0">
      <w:pPr>
        <w:spacing w:after="0" w:line="240" w:lineRule="auto"/>
      </w:pPr>
      <w:r>
        <w:separator/>
      </w:r>
    </w:p>
  </w:endnote>
  <w:endnote w:type="continuationSeparator" w:id="0">
    <w:p w14:paraId="6F57252F" w14:textId="77777777" w:rsidR="00AF6BC0" w:rsidRDefault="00AF6BC0" w:rsidP="00AF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930F" w14:textId="0A306FE5" w:rsidR="00AF6BC0" w:rsidRDefault="00AF6BC0">
    <w:pPr>
      <w:pStyle w:val="Pieddepage"/>
    </w:pPr>
    <w:r>
      <w:t>JPSHOP EURL Le Chatel – Route de Provins 77370 Nangis France 09 52 00 10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6EF6A" w14:textId="77777777" w:rsidR="00AF6BC0" w:rsidRDefault="00AF6BC0" w:rsidP="00AF6BC0">
      <w:pPr>
        <w:spacing w:after="0" w:line="240" w:lineRule="auto"/>
      </w:pPr>
      <w:r>
        <w:separator/>
      </w:r>
    </w:p>
  </w:footnote>
  <w:footnote w:type="continuationSeparator" w:id="0">
    <w:p w14:paraId="07DF9EFA" w14:textId="77777777" w:rsidR="00AF6BC0" w:rsidRDefault="00AF6BC0" w:rsidP="00AF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DA7E" w14:textId="12391F1A" w:rsidR="00AF6BC0" w:rsidRDefault="00AF6BC0">
    <w:pPr>
      <w:pStyle w:val="En-tte"/>
    </w:pPr>
    <w:r>
      <w:rPr>
        <w:noProof/>
      </w:rPr>
      <w:drawing>
        <wp:inline distT="0" distB="0" distL="0" distR="0" wp14:anchorId="2566CD4D" wp14:editId="70FDFE99">
          <wp:extent cx="1229194" cy="614597"/>
          <wp:effectExtent l="0" t="0" r="3175" b="0"/>
          <wp:docPr id="65810558" name="Image 1" descr="Une image contenant Police, logo, cercl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0558" name="Image 1" descr="Une image contenant Police, logo, cercl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47" cy="631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6AF5C6" wp14:editId="6C7364BD">
          <wp:extent cx="1266995" cy="539646"/>
          <wp:effectExtent l="0" t="0" r="3175" b="0"/>
          <wp:docPr id="597858446" name="Image 2" descr="Une image contenant Police, logo, symbole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58446" name="Image 2" descr="Une image contenant Police, logo, symbole, Mar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034" cy="56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8BC"/>
    <w:multiLevelType w:val="hybridMultilevel"/>
    <w:tmpl w:val="746A6DB6"/>
    <w:lvl w:ilvl="0" w:tplc="4086A82A">
      <w:start w:val="5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C49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2D4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D2005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41A1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068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2A429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2C14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C13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E66FA"/>
    <w:multiLevelType w:val="hybridMultilevel"/>
    <w:tmpl w:val="8B129D4E"/>
    <w:lvl w:ilvl="0" w:tplc="57ACE6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67572">
      <w:start w:val="1"/>
      <w:numFmt w:val="lowerLetter"/>
      <w:lvlText w:val="%2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0CEDA">
      <w:start w:val="1"/>
      <w:numFmt w:val="lowerRoman"/>
      <w:lvlText w:val="%3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4BDAC">
      <w:start w:val="1"/>
      <w:numFmt w:val="decimal"/>
      <w:lvlText w:val="%4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A42F6">
      <w:start w:val="1"/>
      <w:numFmt w:val="lowerLetter"/>
      <w:lvlText w:val="%5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8EA36">
      <w:start w:val="1"/>
      <w:numFmt w:val="lowerRoman"/>
      <w:lvlText w:val="%6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D362">
      <w:start w:val="1"/>
      <w:numFmt w:val="decimal"/>
      <w:lvlText w:val="%7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8F20C">
      <w:start w:val="1"/>
      <w:numFmt w:val="lowerLetter"/>
      <w:lvlText w:val="%8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46626">
      <w:start w:val="1"/>
      <w:numFmt w:val="lowerRoman"/>
      <w:lvlText w:val="%9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B7527"/>
    <w:multiLevelType w:val="hybridMultilevel"/>
    <w:tmpl w:val="68C49168"/>
    <w:lvl w:ilvl="0" w:tplc="BB5E97A6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6ADC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219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CF408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0C8CC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435E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4398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81840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ABA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369B7"/>
    <w:multiLevelType w:val="hybridMultilevel"/>
    <w:tmpl w:val="C480FFDC"/>
    <w:lvl w:ilvl="0" w:tplc="62F6F83E">
      <w:start w:val="2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EAB1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6A4D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627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0DC3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63A4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4706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4E4F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6F2B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273F87"/>
    <w:multiLevelType w:val="multilevel"/>
    <w:tmpl w:val="BCEC4C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61ED9"/>
    <w:multiLevelType w:val="hybridMultilevel"/>
    <w:tmpl w:val="68C49168"/>
    <w:lvl w:ilvl="0" w:tplc="FFFFFFFF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632A0"/>
    <w:multiLevelType w:val="multilevel"/>
    <w:tmpl w:val="B9B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7A1709"/>
    <w:multiLevelType w:val="multilevel"/>
    <w:tmpl w:val="F3301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365D9"/>
    <w:multiLevelType w:val="hybridMultilevel"/>
    <w:tmpl w:val="C8363378"/>
    <w:lvl w:ilvl="0" w:tplc="60FC2542">
      <w:start w:val="3"/>
      <w:numFmt w:val="decimal"/>
      <w:lvlText w:val="%1."/>
      <w:lvlJc w:val="left"/>
      <w:pPr>
        <w:ind w:left="854" w:hanging="360"/>
      </w:pPr>
      <w:rPr>
        <w:rFonts w:hint="default"/>
        <w:b/>
        <w:sz w:val="21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74" w:hanging="360"/>
      </w:pPr>
    </w:lvl>
    <w:lvl w:ilvl="2" w:tplc="040C001B" w:tentative="1">
      <w:start w:val="1"/>
      <w:numFmt w:val="lowerRoman"/>
      <w:lvlText w:val="%3."/>
      <w:lvlJc w:val="right"/>
      <w:pPr>
        <w:ind w:left="2294" w:hanging="180"/>
      </w:pPr>
    </w:lvl>
    <w:lvl w:ilvl="3" w:tplc="040C000F" w:tentative="1">
      <w:start w:val="1"/>
      <w:numFmt w:val="decimal"/>
      <w:lvlText w:val="%4."/>
      <w:lvlJc w:val="left"/>
      <w:pPr>
        <w:ind w:left="3014" w:hanging="360"/>
      </w:pPr>
    </w:lvl>
    <w:lvl w:ilvl="4" w:tplc="040C0019" w:tentative="1">
      <w:start w:val="1"/>
      <w:numFmt w:val="lowerLetter"/>
      <w:lvlText w:val="%5."/>
      <w:lvlJc w:val="left"/>
      <w:pPr>
        <w:ind w:left="3734" w:hanging="360"/>
      </w:pPr>
    </w:lvl>
    <w:lvl w:ilvl="5" w:tplc="040C001B" w:tentative="1">
      <w:start w:val="1"/>
      <w:numFmt w:val="lowerRoman"/>
      <w:lvlText w:val="%6."/>
      <w:lvlJc w:val="right"/>
      <w:pPr>
        <w:ind w:left="4454" w:hanging="180"/>
      </w:pPr>
    </w:lvl>
    <w:lvl w:ilvl="6" w:tplc="040C000F" w:tentative="1">
      <w:start w:val="1"/>
      <w:numFmt w:val="decimal"/>
      <w:lvlText w:val="%7."/>
      <w:lvlJc w:val="left"/>
      <w:pPr>
        <w:ind w:left="5174" w:hanging="360"/>
      </w:pPr>
    </w:lvl>
    <w:lvl w:ilvl="7" w:tplc="040C0019" w:tentative="1">
      <w:start w:val="1"/>
      <w:numFmt w:val="lowerLetter"/>
      <w:lvlText w:val="%8."/>
      <w:lvlJc w:val="left"/>
      <w:pPr>
        <w:ind w:left="5894" w:hanging="360"/>
      </w:pPr>
    </w:lvl>
    <w:lvl w:ilvl="8" w:tplc="040C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 w15:restartNumberingAfterBreak="0">
    <w:nsid w:val="4C0525D8"/>
    <w:multiLevelType w:val="multilevel"/>
    <w:tmpl w:val="179E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B64AD"/>
    <w:multiLevelType w:val="hybridMultilevel"/>
    <w:tmpl w:val="396EBE98"/>
    <w:lvl w:ilvl="0" w:tplc="560EC2E4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1" w:tplc="605C2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2" w:tplc="5188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3" w:tplc="8182E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4" w:tplc="82AA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5" w:tplc="DA687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6" w:tplc="CC4E8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7" w:tplc="52E0C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8" w:tplc="B2609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2A7815"/>
    <w:multiLevelType w:val="hybridMultilevel"/>
    <w:tmpl w:val="42088912"/>
    <w:lvl w:ilvl="0" w:tplc="22AEB12E">
      <w:start w:val="13"/>
      <w:numFmt w:val="decimal"/>
      <w:lvlText w:val="%1.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D29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CCC6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1FB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B29E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A9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A48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02608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084C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211C26"/>
    <w:multiLevelType w:val="hybridMultilevel"/>
    <w:tmpl w:val="3488A5AC"/>
    <w:lvl w:ilvl="0" w:tplc="387C7802">
      <w:start w:val="3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2FEB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E2D4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C16F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11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492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A447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53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2B8E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646766">
    <w:abstractNumId w:val="3"/>
  </w:num>
  <w:num w:numId="2" w16cid:durableId="1143352606">
    <w:abstractNumId w:val="12"/>
  </w:num>
  <w:num w:numId="3" w16cid:durableId="563102844">
    <w:abstractNumId w:val="0"/>
  </w:num>
  <w:num w:numId="4" w16cid:durableId="1866744546">
    <w:abstractNumId w:val="1"/>
  </w:num>
  <w:num w:numId="5" w16cid:durableId="109857322">
    <w:abstractNumId w:val="2"/>
  </w:num>
  <w:num w:numId="6" w16cid:durableId="268972552">
    <w:abstractNumId w:val="5"/>
  </w:num>
  <w:num w:numId="7" w16cid:durableId="1676037279">
    <w:abstractNumId w:val="10"/>
  </w:num>
  <w:num w:numId="8" w16cid:durableId="1272475754">
    <w:abstractNumId w:val="11"/>
  </w:num>
  <w:num w:numId="9" w16cid:durableId="1069378107">
    <w:abstractNumId w:val="8"/>
  </w:num>
  <w:num w:numId="10" w16cid:durableId="781848581">
    <w:abstractNumId w:val="9"/>
  </w:num>
  <w:num w:numId="11" w16cid:durableId="912936132">
    <w:abstractNumId w:val="4"/>
  </w:num>
  <w:num w:numId="12" w16cid:durableId="1464928201">
    <w:abstractNumId w:val="6"/>
  </w:num>
  <w:num w:numId="13" w16cid:durableId="338964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0"/>
    <w:rsid w:val="000134EF"/>
    <w:rsid w:val="00192A5E"/>
    <w:rsid w:val="001A6B20"/>
    <w:rsid w:val="002042B3"/>
    <w:rsid w:val="005470E0"/>
    <w:rsid w:val="005A1463"/>
    <w:rsid w:val="005F2B70"/>
    <w:rsid w:val="006345E4"/>
    <w:rsid w:val="007F2101"/>
    <w:rsid w:val="00837E70"/>
    <w:rsid w:val="00896A8C"/>
    <w:rsid w:val="00903BD7"/>
    <w:rsid w:val="00945E43"/>
    <w:rsid w:val="009771A7"/>
    <w:rsid w:val="009A25C4"/>
    <w:rsid w:val="00A44F46"/>
    <w:rsid w:val="00A45E67"/>
    <w:rsid w:val="00AC1EDB"/>
    <w:rsid w:val="00AF4C3F"/>
    <w:rsid w:val="00AF6BC0"/>
    <w:rsid w:val="00C16AE9"/>
    <w:rsid w:val="00C84647"/>
    <w:rsid w:val="00CD54B0"/>
    <w:rsid w:val="00D0628D"/>
    <w:rsid w:val="00D6451B"/>
    <w:rsid w:val="00D70014"/>
    <w:rsid w:val="00DB68BE"/>
    <w:rsid w:val="00E15855"/>
    <w:rsid w:val="00E4653E"/>
    <w:rsid w:val="00E54D58"/>
    <w:rsid w:val="00EA6A2E"/>
    <w:rsid w:val="00F65881"/>
    <w:rsid w:val="00F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10F37"/>
  <w15:chartTrackingRefBased/>
  <w15:docId w15:val="{F2865D0C-4589-214E-8FF9-ACAA406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C0"/>
    <w:pPr>
      <w:spacing w:after="180" w:line="249" w:lineRule="auto"/>
      <w:ind w:left="10" w:hanging="10"/>
    </w:pPr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F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B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B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B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B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B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BC0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B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B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B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B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B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NormalWeb">
    <w:name w:val="Normal (Web)"/>
    <w:basedOn w:val="Normal"/>
    <w:uiPriority w:val="99"/>
    <w:unhideWhenUsed/>
    <w:rsid w:val="00AC1EDB"/>
    <w:pPr>
      <w:spacing w:before="100" w:beforeAutospacing="1" w:after="100" w:afterAutospacing="1" w:line="240" w:lineRule="auto"/>
      <w:ind w:left="0" w:firstLine="0"/>
    </w:pPr>
    <w:rPr>
      <w:color w:val="auto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1968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Masip</dc:creator>
  <cp:keywords/>
  <dc:description/>
  <cp:lastModifiedBy>Eric Masip</cp:lastModifiedBy>
  <cp:revision>21</cp:revision>
  <dcterms:created xsi:type="dcterms:W3CDTF">2024-07-18T05:29:00Z</dcterms:created>
  <dcterms:modified xsi:type="dcterms:W3CDTF">2024-07-18T05:43:00Z</dcterms:modified>
</cp:coreProperties>
</file>