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2AEF3757" w:rsidR="00B84FFD" w:rsidRDefault="00B84FFD" w:rsidP="00141466">
            <w:pPr>
              <w:spacing w:after="120"/>
              <w:rPr>
                <w:rFonts w:cs="Calibri"/>
              </w:rPr>
            </w:pPr>
            <w:r>
              <w:rPr>
                <w:rFonts w:cs="Calibri"/>
              </w:rPr>
              <w:t xml:space="preserve">: </w:t>
            </w:r>
            <w:r w:rsidR="001B1645">
              <w:rPr>
                <w:rFonts w:cs="Calibri"/>
              </w:rPr>
              <w:t>BLUSH</w:t>
            </w:r>
            <w:r w:rsidR="00F32420">
              <w:rPr>
                <w:rFonts w:cs="Calibri"/>
              </w:rPr>
              <w:t xml:space="preserve"> </w:t>
            </w:r>
            <w:r w:rsidR="00B45857">
              <w:rPr>
                <w:rFonts w:cs="Calibri"/>
              </w:rPr>
              <w:t>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A01456" w14:paraId="284A17A2" w14:textId="77777777" w:rsidTr="00141466">
        <w:tc>
          <w:tcPr>
            <w:tcW w:w="6941" w:type="dxa"/>
          </w:tcPr>
          <w:p w14:paraId="3A586833" w14:textId="6D3E7C81" w:rsidR="00A01456" w:rsidRPr="00A73D59" w:rsidRDefault="00885360" w:rsidP="00141466">
            <w:pPr>
              <w:pStyle w:val="SDSTableTextNormal"/>
              <w:rPr>
                <w:rFonts w:ascii="Calibri" w:eastAsia="Calibri" w:hAnsi="Calibri" w:cs="Calibri"/>
                <w:noProof w:val="0"/>
                <w:sz w:val="22"/>
                <w:szCs w:val="22"/>
                <w:lang w:val="fr-FR" w:eastAsia="en-US"/>
              </w:rPr>
            </w:pPr>
            <w:r w:rsidRPr="00885360">
              <w:rPr>
                <w:rFonts w:ascii="Calibri" w:eastAsia="Calibri" w:hAnsi="Calibri" w:cs="Calibri"/>
                <w:noProof w:val="0"/>
                <w:sz w:val="22"/>
                <w:szCs w:val="22"/>
                <w:lang w:val="fr-FR" w:eastAsia="en-US"/>
              </w:rPr>
              <w:t>Dangers pour le milieu aquatique – Danger chronique, catégorie 3</w:t>
            </w:r>
          </w:p>
        </w:tc>
        <w:tc>
          <w:tcPr>
            <w:tcW w:w="3544" w:type="dxa"/>
          </w:tcPr>
          <w:p w14:paraId="6CA24551" w14:textId="57907969" w:rsidR="00A01456" w:rsidRPr="00A73D59" w:rsidRDefault="00A01456"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504312A5" w:rsidR="00B84FFD" w:rsidRPr="006E3F73" w:rsidRDefault="004F0FC8" w:rsidP="00162CE9">
            <w:pPr>
              <w:rPr>
                <w:rFonts w:cs="Calibri"/>
                <w:sz w:val="22"/>
                <w:szCs w:val="22"/>
                <w:lang w:val="fr-FR" w:eastAsia="en-US"/>
              </w:rPr>
            </w:pPr>
            <w:r w:rsidRPr="00162CE9">
              <w:rPr>
                <w:rFonts w:cs="Calibri"/>
                <w:sz w:val="22"/>
                <w:szCs w:val="22"/>
                <w:lang w:val="fr-FR" w:eastAsia="en-US"/>
              </w:rPr>
              <w:t>Salicylate de benzyle</w:t>
            </w:r>
            <w:r w:rsidRPr="00162CE9">
              <w:rPr>
                <w:rFonts w:cs="Calibri"/>
                <w:sz w:val="22"/>
                <w:szCs w:val="22"/>
                <w:lang w:val="fr-FR" w:eastAsia="en-US"/>
              </w:rPr>
              <w:t xml:space="preserve">, </w:t>
            </w:r>
            <w:r w:rsidRPr="00162CE9">
              <w:rPr>
                <w:rFonts w:cs="Calibri"/>
                <w:sz w:val="22"/>
                <w:szCs w:val="22"/>
                <w:lang w:val="fr-FR" w:eastAsia="en-US"/>
              </w:rPr>
              <w:t>3,7-Dimethyl octa-1,6-diene-3-ol</w:t>
            </w:r>
            <w:r w:rsidRPr="00162CE9">
              <w:rPr>
                <w:rFonts w:cs="Calibri"/>
                <w:sz w:val="22"/>
                <w:szCs w:val="22"/>
                <w:lang w:val="fr-FR" w:eastAsia="en-US"/>
              </w:rPr>
              <w:t xml:space="preserve">, </w:t>
            </w:r>
            <w:r w:rsidRPr="00162CE9">
              <w:rPr>
                <w:rFonts w:cs="Calibri"/>
                <w:sz w:val="22"/>
                <w:szCs w:val="22"/>
                <w:lang w:val="fr-FR" w:eastAsia="en-US"/>
              </w:rPr>
              <w:t>3,7-Dimethyl-1,6-nonadien-3-ol</w:t>
            </w:r>
            <w:r w:rsidR="00162CE9" w:rsidRPr="00162CE9">
              <w:rPr>
                <w:rFonts w:cs="Calibri"/>
                <w:sz w:val="22"/>
                <w:szCs w:val="22"/>
                <w:lang w:val="fr-FR" w:eastAsia="en-US"/>
              </w:rPr>
              <w:t xml:space="preserve">, </w:t>
            </w:r>
            <w:r w:rsidRPr="00162CE9">
              <w:rPr>
                <w:rFonts w:cs="Calibri"/>
                <w:sz w:val="22"/>
                <w:szCs w:val="22"/>
                <w:lang w:val="fr-FR" w:eastAsia="en-US"/>
              </w:rPr>
              <w:t>2-methoxy-4-prop-1-en-2-ylphenol</w:t>
            </w:r>
            <w:r w:rsidR="00390851">
              <w:rPr>
                <w:rFonts w:cs="Calibri"/>
                <w:sz w:val="22"/>
                <w:szCs w:val="22"/>
                <w:lang w:val="fr-FR" w:eastAsia="en-US"/>
              </w:rPr>
              <w:t>.</w:t>
            </w:r>
            <w:r w:rsidR="00904281">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2BBD354E" w14:textId="77777777" w:rsidR="003641A3"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435074C5" w14:textId="5565099F" w:rsidR="00885360" w:rsidRPr="00FC70EC" w:rsidRDefault="00885360"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00CC733D" w:rsidRPr="00CC733D">
              <w:rPr>
                <w:rFonts w:ascii="Calibri" w:eastAsia="Calibri" w:hAnsi="Calibri" w:cs="Calibri"/>
                <w:noProof w:val="0"/>
                <w:sz w:val="22"/>
                <w:szCs w:val="22"/>
                <w:lang w:val="fr-FR" w:eastAsia="en-US"/>
              </w:rPr>
              <w:t>Nocif pour les organismes aquatiques, entraîne des effets néfastes à long terme</w:t>
            </w:r>
            <w:r w:rsidR="00CC733D">
              <w:rPr>
                <w:rFonts w:ascii="Calibri" w:eastAsia="Calibri" w:hAnsi="Calibri" w:cs="Calibri"/>
                <w:noProof w:val="0"/>
                <w:sz w:val="22"/>
                <w:szCs w:val="22"/>
                <w:lang w:val="fr-FR" w:eastAsia="en-US"/>
              </w:rPr>
              <w:t>.</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443D6E32" w14:textId="32BE9E4F" w:rsidR="00CC733D" w:rsidRDefault="00CC733D"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12A05143" w14:textId="77777777" w:rsidR="00BA04E9"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33C59744" w14:textId="7558F044" w:rsidR="00CC733D" w:rsidRPr="00817F9B" w:rsidRDefault="00CC733D" w:rsidP="00DA6E18">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00821DD7" w:rsidRPr="00821DD7">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56" w:type="dxa"/>
        <w:tblInd w:w="39" w:type="dxa"/>
        <w:tblCellMar>
          <w:top w:w="45" w:type="dxa"/>
          <w:left w:w="56" w:type="dxa"/>
          <w:right w:w="101" w:type="dxa"/>
        </w:tblCellMar>
        <w:tblLook w:val="04A0" w:firstRow="1" w:lastRow="0" w:firstColumn="1" w:lastColumn="0" w:noHBand="0" w:noVBand="1"/>
      </w:tblPr>
      <w:tblGrid>
        <w:gridCol w:w="3958"/>
        <w:gridCol w:w="2263"/>
        <w:gridCol w:w="1127"/>
        <w:gridCol w:w="3108"/>
      </w:tblGrid>
      <w:tr w:rsidR="006A7C3A" w14:paraId="5206A896" w14:textId="77777777" w:rsidTr="00BC4BAA">
        <w:trPr>
          <w:trHeight w:val="576"/>
        </w:trPr>
        <w:tc>
          <w:tcPr>
            <w:tcW w:w="3958" w:type="dxa"/>
            <w:tcBorders>
              <w:top w:val="single" w:sz="4" w:space="0" w:color="0070C0"/>
              <w:left w:val="single" w:sz="4" w:space="0" w:color="0070C0"/>
              <w:bottom w:val="single" w:sz="4" w:space="0" w:color="0070C0"/>
              <w:right w:val="single" w:sz="4" w:space="0" w:color="0070C0"/>
            </w:tcBorders>
            <w:shd w:val="clear" w:color="auto" w:fill="BDD6EE"/>
          </w:tcPr>
          <w:p w14:paraId="0DE22426" w14:textId="77777777" w:rsidR="006A7C3A" w:rsidRDefault="006A7C3A" w:rsidP="00370386">
            <w:pPr>
              <w:spacing w:line="259" w:lineRule="auto"/>
            </w:pPr>
            <w:r>
              <w:rPr>
                <w:b/>
                <w:color w:val="0070C0"/>
                <w:sz w:val="18"/>
              </w:rPr>
              <w:t xml:space="preserve">Nom </w:t>
            </w:r>
          </w:p>
        </w:tc>
        <w:tc>
          <w:tcPr>
            <w:tcW w:w="2263" w:type="dxa"/>
            <w:tcBorders>
              <w:top w:val="single" w:sz="4" w:space="0" w:color="0070C0"/>
              <w:left w:val="single" w:sz="4" w:space="0" w:color="0070C0"/>
              <w:bottom w:val="single" w:sz="4" w:space="0" w:color="0070C0"/>
              <w:right w:val="single" w:sz="4" w:space="0" w:color="0070C0"/>
            </w:tcBorders>
            <w:shd w:val="clear" w:color="auto" w:fill="BDD6EE"/>
          </w:tcPr>
          <w:p w14:paraId="379178C2" w14:textId="77777777" w:rsidR="006A7C3A" w:rsidRDefault="006A7C3A" w:rsidP="00370386">
            <w:pPr>
              <w:spacing w:line="259" w:lineRule="auto"/>
              <w:ind w:left="1"/>
            </w:pPr>
            <w:r>
              <w:rPr>
                <w:b/>
                <w:color w:val="0070C0"/>
                <w:sz w:val="18"/>
              </w:rPr>
              <w:t xml:space="preserve">Identificateur de produit </w:t>
            </w:r>
          </w:p>
        </w:tc>
        <w:tc>
          <w:tcPr>
            <w:tcW w:w="1127" w:type="dxa"/>
            <w:tcBorders>
              <w:top w:val="single" w:sz="4" w:space="0" w:color="0070C0"/>
              <w:left w:val="single" w:sz="4" w:space="0" w:color="0070C0"/>
              <w:bottom w:val="single" w:sz="4" w:space="0" w:color="0070C0"/>
              <w:right w:val="single" w:sz="4" w:space="0" w:color="0070C0"/>
            </w:tcBorders>
            <w:shd w:val="clear" w:color="auto" w:fill="BDD6EE"/>
          </w:tcPr>
          <w:p w14:paraId="62D271BB" w14:textId="77777777" w:rsidR="006A7C3A" w:rsidRDefault="006A7C3A" w:rsidP="00370386">
            <w:pPr>
              <w:spacing w:line="259" w:lineRule="auto"/>
              <w:ind w:left="1"/>
            </w:pPr>
            <w:r>
              <w:rPr>
                <w:b/>
                <w:color w:val="0070C0"/>
                <w:sz w:val="18"/>
              </w:rPr>
              <w:t xml:space="preserve">% </w:t>
            </w:r>
          </w:p>
        </w:tc>
        <w:tc>
          <w:tcPr>
            <w:tcW w:w="3108" w:type="dxa"/>
            <w:tcBorders>
              <w:top w:val="single" w:sz="4" w:space="0" w:color="0070C0"/>
              <w:left w:val="single" w:sz="4" w:space="0" w:color="0070C0"/>
              <w:bottom w:val="single" w:sz="4" w:space="0" w:color="0070C0"/>
              <w:right w:val="single" w:sz="4" w:space="0" w:color="0070C0"/>
            </w:tcBorders>
            <w:shd w:val="clear" w:color="auto" w:fill="BDD6EE"/>
          </w:tcPr>
          <w:p w14:paraId="3E62092C" w14:textId="77777777" w:rsidR="006A7C3A" w:rsidRDefault="006A7C3A" w:rsidP="00370386">
            <w:pPr>
              <w:spacing w:line="259" w:lineRule="auto"/>
              <w:ind w:left="1"/>
            </w:pPr>
            <w:r>
              <w:rPr>
                <w:b/>
                <w:color w:val="0070C0"/>
                <w:sz w:val="18"/>
              </w:rPr>
              <w:t xml:space="preserve">Classification selon le règlement (CE) N° 1272/2008 [CLP] </w:t>
            </w:r>
          </w:p>
        </w:tc>
      </w:tr>
      <w:tr w:rsidR="00484E4B" w14:paraId="2C4F6CA0" w14:textId="77777777" w:rsidTr="00BC4BAA">
        <w:tblPrEx>
          <w:tblCellMar>
            <w:right w:w="32" w:type="dxa"/>
          </w:tblCellMar>
        </w:tblPrEx>
        <w:trPr>
          <w:trHeight w:val="1008"/>
        </w:trPr>
        <w:tc>
          <w:tcPr>
            <w:tcW w:w="3958" w:type="dxa"/>
            <w:tcBorders>
              <w:top w:val="single" w:sz="4" w:space="0" w:color="0070C0"/>
              <w:left w:val="single" w:sz="4" w:space="0" w:color="0070C0"/>
              <w:bottom w:val="single" w:sz="4" w:space="0" w:color="0070C0"/>
              <w:right w:val="single" w:sz="4" w:space="0" w:color="0070C0"/>
            </w:tcBorders>
          </w:tcPr>
          <w:p w14:paraId="6F4A5974" w14:textId="2188AC6A" w:rsidR="00484E4B" w:rsidRDefault="00484E4B" w:rsidP="00484E4B">
            <w:pPr>
              <w:spacing w:line="259" w:lineRule="auto"/>
            </w:pPr>
            <w:r>
              <w:t xml:space="preserve">Salicylate de benzyle </w:t>
            </w:r>
          </w:p>
        </w:tc>
        <w:tc>
          <w:tcPr>
            <w:tcW w:w="2263" w:type="dxa"/>
            <w:tcBorders>
              <w:top w:val="single" w:sz="4" w:space="0" w:color="0070C0"/>
              <w:left w:val="single" w:sz="4" w:space="0" w:color="0070C0"/>
              <w:bottom w:val="single" w:sz="4" w:space="0" w:color="0070C0"/>
              <w:right w:val="single" w:sz="4" w:space="0" w:color="0070C0"/>
            </w:tcBorders>
          </w:tcPr>
          <w:p w14:paraId="134B1CED" w14:textId="77777777" w:rsidR="00484E4B" w:rsidRDefault="00484E4B" w:rsidP="00484E4B">
            <w:pPr>
              <w:spacing w:after="21" w:line="259" w:lineRule="auto"/>
              <w:ind w:left="1"/>
            </w:pPr>
            <w:r>
              <w:t xml:space="preserve">N° CAS: 118-58-1 </w:t>
            </w:r>
          </w:p>
          <w:p w14:paraId="43A16F56" w14:textId="77777777" w:rsidR="00484E4B" w:rsidRDefault="00484E4B" w:rsidP="00484E4B">
            <w:pPr>
              <w:spacing w:after="21" w:line="259" w:lineRule="auto"/>
              <w:ind w:left="1"/>
            </w:pPr>
            <w:r>
              <w:t xml:space="preserve">N° CE: 204-262-9 </w:t>
            </w:r>
          </w:p>
          <w:p w14:paraId="23391BC6" w14:textId="77777777" w:rsidR="00484E4B" w:rsidRDefault="00484E4B" w:rsidP="00484E4B">
            <w:pPr>
              <w:spacing w:after="21" w:line="259" w:lineRule="auto"/>
              <w:ind w:left="1"/>
            </w:pPr>
            <w:r>
              <w:t xml:space="preserve">N° Index: 607-754-00-5 </w:t>
            </w:r>
          </w:p>
          <w:p w14:paraId="0D5D06BF" w14:textId="60EB3320" w:rsidR="00484E4B" w:rsidRDefault="00484E4B" w:rsidP="00484E4B">
            <w:pPr>
              <w:spacing w:line="259" w:lineRule="auto"/>
              <w:ind w:left="1"/>
            </w:pPr>
            <w:r>
              <w:t xml:space="preserve">N° REACH: 01-211996944231 </w:t>
            </w:r>
          </w:p>
        </w:tc>
        <w:tc>
          <w:tcPr>
            <w:tcW w:w="1127" w:type="dxa"/>
            <w:tcBorders>
              <w:top w:val="single" w:sz="4" w:space="0" w:color="0070C0"/>
              <w:left w:val="single" w:sz="4" w:space="0" w:color="0070C0"/>
              <w:bottom w:val="single" w:sz="4" w:space="0" w:color="0070C0"/>
              <w:right w:val="single" w:sz="4" w:space="0" w:color="0070C0"/>
            </w:tcBorders>
          </w:tcPr>
          <w:p w14:paraId="44D898B1" w14:textId="603406AD" w:rsidR="00484E4B" w:rsidRDefault="00D85AFA" w:rsidP="00484E4B">
            <w:pPr>
              <w:spacing w:line="259" w:lineRule="auto"/>
              <w:ind w:left="1"/>
            </w:pPr>
            <w:r>
              <w:t>1,99</w:t>
            </w:r>
            <w:r w:rsidR="00484E4B">
              <w:t xml:space="preserve"> </w:t>
            </w:r>
          </w:p>
        </w:tc>
        <w:tc>
          <w:tcPr>
            <w:tcW w:w="3108" w:type="dxa"/>
            <w:tcBorders>
              <w:top w:val="single" w:sz="4" w:space="0" w:color="0070C0"/>
              <w:left w:val="single" w:sz="4" w:space="0" w:color="0070C0"/>
              <w:bottom w:val="single" w:sz="4" w:space="0" w:color="0070C0"/>
              <w:right w:val="single" w:sz="4" w:space="0" w:color="0070C0"/>
            </w:tcBorders>
          </w:tcPr>
          <w:p w14:paraId="5AAAD3A4" w14:textId="77777777" w:rsidR="00484E4B" w:rsidRDefault="00484E4B" w:rsidP="00484E4B">
            <w:pPr>
              <w:spacing w:after="21" w:line="259" w:lineRule="auto"/>
              <w:ind w:left="1"/>
            </w:pPr>
            <w:r>
              <w:t xml:space="preserve">Eye </w:t>
            </w:r>
            <w:proofErr w:type="spellStart"/>
            <w:r>
              <w:t>Irrit</w:t>
            </w:r>
            <w:proofErr w:type="spellEnd"/>
            <w:r>
              <w:t xml:space="preserve">. 2, H319 </w:t>
            </w:r>
          </w:p>
          <w:p w14:paraId="66862067" w14:textId="77777777" w:rsidR="00484E4B" w:rsidRDefault="00484E4B" w:rsidP="00484E4B">
            <w:pPr>
              <w:spacing w:after="21" w:line="259" w:lineRule="auto"/>
              <w:ind w:left="1"/>
            </w:pPr>
            <w:r>
              <w:t xml:space="preserve">Skin Sens. 1B, H317 </w:t>
            </w:r>
          </w:p>
          <w:p w14:paraId="446686D5" w14:textId="429609DA" w:rsidR="00484E4B" w:rsidRDefault="00484E4B" w:rsidP="00484E4B">
            <w:pPr>
              <w:spacing w:line="259" w:lineRule="auto"/>
              <w:ind w:left="1"/>
            </w:pPr>
            <w:proofErr w:type="spellStart"/>
            <w:r>
              <w:t>Aquatic</w:t>
            </w:r>
            <w:proofErr w:type="spellEnd"/>
            <w:r>
              <w:t xml:space="preserve"> </w:t>
            </w:r>
            <w:proofErr w:type="spellStart"/>
            <w:r>
              <w:t>Chronic</w:t>
            </w:r>
            <w:proofErr w:type="spellEnd"/>
            <w:r>
              <w:t xml:space="preserve"> 3, H412 </w:t>
            </w:r>
          </w:p>
        </w:tc>
      </w:tr>
      <w:tr w:rsidR="00484E4B" w14:paraId="518C9F56" w14:textId="77777777" w:rsidTr="00BC4BAA">
        <w:tblPrEx>
          <w:tblCellMar>
            <w:right w:w="32" w:type="dxa"/>
          </w:tblCellMar>
        </w:tblPrEx>
        <w:trPr>
          <w:trHeight w:val="1008"/>
        </w:trPr>
        <w:tc>
          <w:tcPr>
            <w:tcW w:w="3958" w:type="dxa"/>
            <w:tcBorders>
              <w:top w:val="single" w:sz="4" w:space="0" w:color="0070C0"/>
              <w:left w:val="single" w:sz="4" w:space="0" w:color="0070C0"/>
              <w:bottom w:val="single" w:sz="4" w:space="0" w:color="0070C0"/>
              <w:right w:val="single" w:sz="4" w:space="0" w:color="0070C0"/>
            </w:tcBorders>
          </w:tcPr>
          <w:p w14:paraId="7E070865" w14:textId="1104C265" w:rsidR="00484E4B" w:rsidRDefault="00484E4B" w:rsidP="00484E4B">
            <w:pPr>
              <w:spacing w:line="259" w:lineRule="auto"/>
            </w:pPr>
            <w:r>
              <w:lastRenderedPageBreak/>
              <w:t xml:space="preserve">3,7-Dimethyl octa-1,6-diene-3-ol </w:t>
            </w:r>
          </w:p>
        </w:tc>
        <w:tc>
          <w:tcPr>
            <w:tcW w:w="2263" w:type="dxa"/>
            <w:tcBorders>
              <w:top w:val="single" w:sz="4" w:space="0" w:color="0070C0"/>
              <w:left w:val="single" w:sz="4" w:space="0" w:color="0070C0"/>
              <w:bottom w:val="single" w:sz="4" w:space="0" w:color="0070C0"/>
              <w:right w:val="single" w:sz="4" w:space="0" w:color="0070C0"/>
            </w:tcBorders>
          </w:tcPr>
          <w:p w14:paraId="7EA25A21" w14:textId="77777777" w:rsidR="00484E4B" w:rsidRDefault="00484E4B" w:rsidP="00484E4B">
            <w:pPr>
              <w:spacing w:after="21" w:line="259" w:lineRule="auto"/>
              <w:ind w:left="1"/>
            </w:pPr>
            <w:r>
              <w:t xml:space="preserve">N° CAS: 78-70-6 </w:t>
            </w:r>
          </w:p>
          <w:p w14:paraId="3568A218" w14:textId="77777777" w:rsidR="00484E4B" w:rsidRDefault="00484E4B" w:rsidP="00484E4B">
            <w:pPr>
              <w:spacing w:after="21" w:line="259" w:lineRule="auto"/>
              <w:ind w:left="1"/>
            </w:pPr>
            <w:r>
              <w:t xml:space="preserve">N° CE: 201-134-4 </w:t>
            </w:r>
          </w:p>
          <w:p w14:paraId="4045BEE4" w14:textId="0A1F412C" w:rsidR="00484E4B" w:rsidRDefault="00484E4B" w:rsidP="00484E4B">
            <w:pPr>
              <w:spacing w:line="259" w:lineRule="auto"/>
              <w:ind w:left="1"/>
            </w:pPr>
            <w:r>
              <w:t xml:space="preserve">N° REACH: 01-211947401642 </w:t>
            </w:r>
          </w:p>
        </w:tc>
        <w:tc>
          <w:tcPr>
            <w:tcW w:w="1127" w:type="dxa"/>
            <w:tcBorders>
              <w:top w:val="single" w:sz="4" w:space="0" w:color="0070C0"/>
              <w:left w:val="single" w:sz="4" w:space="0" w:color="0070C0"/>
              <w:bottom w:val="single" w:sz="4" w:space="0" w:color="0070C0"/>
              <w:right w:val="single" w:sz="4" w:space="0" w:color="0070C0"/>
            </w:tcBorders>
          </w:tcPr>
          <w:p w14:paraId="4EB909D8" w14:textId="69BD43F2" w:rsidR="00484E4B" w:rsidRDefault="00C32817" w:rsidP="00484E4B">
            <w:pPr>
              <w:spacing w:line="259" w:lineRule="auto"/>
              <w:ind w:left="1"/>
            </w:pPr>
            <w:r>
              <w:t>0,99</w:t>
            </w:r>
            <w:r w:rsidR="00484E4B">
              <w:t xml:space="preserve"> </w:t>
            </w:r>
          </w:p>
        </w:tc>
        <w:tc>
          <w:tcPr>
            <w:tcW w:w="3108" w:type="dxa"/>
            <w:tcBorders>
              <w:top w:val="single" w:sz="4" w:space="0" w:color="0070C0"/>
              <w:left w:val="single" w:sz="4" w:space="0" w:color="0070C0"/>
              <w:bottom w:val="single" w:sz="4" w:space="0" w:color="0070C0"/>
              <w:right w:val="single" w:sz="4" w:space="0" w:color="0070C0"/>
            </w:tcBorders>
          </w:tcPr>
          <w:p w14:paraId="53CF5CC5" w14:textId="77777777" w:rsidR="00484E4B" w:rsidRDefault="00484E4B" w:rsidP="00484E4B">
            <w:pPr>
              <w:spacing w:after="21" w:line="259" w:lineRule="auto"/>
              <w:ind w:left="1"/>
            </w:pPr>
            <w:r>
              <w:t xml:space="preserve">Skin </w:t>
            </w:r>
            <w:proofErr w:type="spellStart"/>
            <w:r>
              <w:t>Irrit</w:t>
            </w:r>
            <w:proofErr w:type="spellEnd"/>
            <w:r>
              <w:t xml:space="preserve">. 2, H315 </w:t>
            </w:r>
          </w:p>
          <w:p w14:paraId="5526D3A6" w14:textId="77777777" w:rsidR="00484E4B" w:rsidRDefault="00484E4B" w:rsidP="00484E4B">
            <w:pPr>
              <w:spacing w:after="21" w:line="259" w:lineRule="auto"/>
              <w:ind w:left="1"/>
            </w:pPr>
            <w:r>
              <w:t xml:space="preserve">Eye </w:t>
            </w:r>
            <w:proofErr w:type="spellStart"/>
            <w:r>
              <w:t>Irrit</w:t>
            </w:r>
            <w:proofErr w:type="spellEnd"/>
            <w:r>
              <w:t xml:space="preserve">. 2, H319 </w:t>
            </w:r>
          </w:p>
          <w:p w14:paraId="2BBB7538" w14:textId="4D92583A" w:rsidR="00484E4B" w:rsidRDefault="00484E4B" w:rsidP="00484E4B">
            <w:pPr>
              <w:spacing w:line="259" w:lineRule="auto"/>
              <w:ind w:left="1" w:right="1048"/>
              <w:jc w:val="both"/>
            </w:pPr>
            <w:r>
              <w:t xml:space="preserve">Skin Sens. 1B, H317 </w:t>
            </w:r>
          </w:p>
        </w:tc>
      </w:tr>
      <w:tr w:rsidR="00484E4B" w14:paraId="6DADAFB0" w14:textId="77777777" w:rsidTr="00BC4BAA">
        <w:tblPrEx>
          <w:tblCellMar>
            <w:right w:w="32" w:type="dxa"/>
          </w:tblCellMar>
        </w:tblPrEx>
        <w:trPr>
          <w:trHeight w:val="1031"/>
        </w:trPr>
        <w:tc>
          <w:tcPr>
            <w:tcW w:w="3958" w:type="dxa"/>
            <w:tcBorders>
              <w:top w:val="single" w:sz="4" w:space="0" w:color="0070C0"/>
              <w:left w:val="single" w:sz="4" w:space="0" w:color="0070C0"/>
              <w:bottom w:val="single" w:sz="4" w:space="0" w:color="0070C0"/>
              <w:right w:val="single" w:sz="4" w:space="0" w:color="0070C0"/>
            </w:tcBorders>
          </w:tcPr>
          <w:p w14:paraId="6FDFE230" w14:textId="024F8982" w:rsidR="00484E4B" w:rsidRDefault="00484E4B" w:rsidP="00484E4B">
            <w:pPr>
              <w:spacing w:line="259" w:lineRule="auto"/>
              <w:jc w:val="both"/>
            </w:pPr>
            <w:r>
              <w:t xml:space="preserve">3,7-Dimethyl-1,6-nonadien-3-ol </w:t>
            </w:r>
          </w:p>
        </w:tc>
        <w:tc>
          <w:tcPr>
            <w:tcW w:w="2263" w:type="dxa"/>
            <w:tcBorders>
              <w:top w:val="single" w:sz="4" w:space="0" w:color="0070C0"/>
              <w:left w:val="single" w:sz="4" w:space="0" w:color="0070C0"/>
              <w:bottom w:val="single" w:sz="4" w:space="0" w:color="0070C0"/>
              <w:right w:val="single" w:sz="4" w:space="0" w:color="0070C0"/>
            </w:tcBorders>
          </w:tcPr>
          <w:p w14:paraId="405AEAF0" w14:textId="77777777" w:rsidR="00484E4B" w:rsidRDefault="00484E4B" w:rsidP="00484E4B">
            <w:pPr>
              <w:spacing w:after="21" w:line="259" w:lineRule="auto"/>
              <w:ind w:left="1"/>
            </w:pPr>
            <w:r>
              <w:t xml:space="preserve">N° CAS: 10339-55-6 </w:t>
            </w:r>
          </w:p>
          <w:p w14:paraId="7AF3C131" w14:textId="77777777" w:rsidR="00484E4B" w:rsidRDefault="00484E4B" w:rsidP="00484E4B">
            <w:pPr>
              <w:spacing w:after="21" w:line="259" w:lineRule="auto"/>
              <w:ind w:left="1"/>
            </w:pPr>
            <w:r>
              <w:t xml:space="preserve">N° CE: 233-732-6 </w:t>
            </w:r>
          </w:p>
          <w:p w14:paraId="1ABD0086" w14:textId="74477AFF" w:rsidR="00484E4B" w:rsidRDefault="00484E4B" w:rsidP="00484E4B">
            <w:pPr>
              <w:spacing w:line="259" w:lineRule="auto"/>
              <w:ind w:left="1"/>
            </w:pPr>
            <w:r>
              <w:t xml:space="preserve">N° REACH: 01-211996927232 </w:t>
            </w:r>
          </w:p>
        </w:tc>
        <w:tc>
          <w:tcPr>
            <w:tcW w:w="1127" w:type="dxa"/>
            <w:tcBorders>
              <w:top w:val="single" w:sz="4" w:space="0" w:color="0070C0"/>
              <w:left w:val="single" w:sz="4" w:space="0" w:color="0070C0"/>
              <w:bottom w:val="single" w:sz="4" w:space="0" w:color="0070C0"/>
              <w:right w:val="single" w:sz="4" w:space="0" w:color="0070C0"/>
            </w:tcBorders>
          </w:tcPr>
          <w:p w14:paraId="5FC9D843" w14:textId="36B54443" w:rsidR="00484E4B" w:rsidRDefault="00C32817" w:rsidP="00484E4B">
            <w:pPr>
              <w:spacing w:line="259" w:lineRule="auto"/>
              <w:ind w:left="1"/>
            </w:pPr>
            <w:r>
              <w:t>0,99</w:t>
            </w:r>
            <w:r w:rsidR="00484E4B">
              <w:t xml:space="preserve"> </w:t>
            </w:r>
          </w:p>
        </w:tc>
        <w:tc>
          <w:tcPr>
            <w:tcW w:w="3108" w:type="dxa"/>
            <w:tcBorders>
              <w:top w:val="single" w:sz="4" w:space="0" w:color="0070C0"/>
              <w:left w:val="single" w:sz="4" w:space="0" w:color="0070C0"/>
              <w:bottom w:val="single" w:sz="4" w:space="0" w:color="0070C0"/>
              <w:right w:val="single" w:sz="4" w:space="0" w:color="0070C0"/>
            </w:tcBorders>
          </w:tcPr>
          <w:p w14:paraId="2A141EDC" w14:textId="77777777" w:rsidR="00484E4B" w:rsidRDefault="00484E4B" w:rsidP="00484E4B">
            <w:pPr>
              <w:spacing w:after="21" w:line="259" w:lineRule="auto"/>
              <w:ind w:left="1"/>
            </w:pPr>
            <w:r>
              <w:t xml:space="preserve">Skin </w:t>
            </w:r>
            <w:proofErr w:type="spellStart"/>
            <w:r>
              <w:t>Irrit</w:t>
            </w:r>
            <w:proofErr w:type="spellEnd"/>
            <w:r>
              <w:t xml:space="preserve">. 2, H315 </w:t>
            </w:r>
          </w:p>
          <w:p w14:paraId="60F0A6AD" w14:textId="77777777" w:rsidR="00484E4B" w:rsidRDefault="00484E4B" w:rsidP="00484E4B">
            <w:pPr>
              <w:spacing w:after="21" w:line="259" w:lineRule="auto"/>
              <w:ind w:left="1"/>
            </w:pPr>
            <w:r>
              <w:t xml:space="preserve">Eye </w:t>
            </w:r>
            <w:proofErr w:type="spellStart"/>
            <w:r>
              <w:t>Irrit</w:t>
            </w:r>
            <w:proofErr w:type="spellEnd"/>
            <w:r>
              <w:t xml:space="preserve">. 2, H319 </w:t>
            </w:r>
          </w:p>
          <w:p w14:paraId="778CBFF9" w14:textId="0B372300" w:rsidR="00484E4B" w:rsidRDefault="00484E4B" w:rsidP="00484E4B">
            <w:pPr>
              <w:spacing w:line="259" w:lineRule="auto"/>
              <w:ind w:left="1"/>
            </w:pPr>
            <w:r>
              <w:t xml:space="preserve">Skin Sens. 1B, H317 </w:t>
            </w:r>
          </w:p>
        </w:tc>
      </w:tr>
      <w:tr w:rsidR="00F80E30" w:rsidRPr="00F80E30" w14:paraId="3A0E0665" w14:textId="77777777" w:rsidTr="00BC4BAA">
        <w:tblPrEx>
          <w:tblCellMar>
            <w:right w:w="32" w:type="dxa"/>
          </w:tblCellMar>
        </w:tblPrEx>
        <w:trPr>
          <w:trHeight w:val="1031"/>
        </w:trPr>
        <w:tc>
          <w:tcPr>
            <w:tcW w:w="3958" w:type="dxa"/>
            <w:tcBorders>
              <w:top w:val="single" w:sz="4" w:space="0" w:color="0070C0"/>
              <w:left w:val="single" w:sz="4" w:space="0" w:color="0070C0"/>
              <w:bottom w:val="single" w:sz="4" w:space="0" w:color="0070C0"/>
              <w:right w:val="single" w:sz="4" w:space="0" w:color="0070C0"/>
            </w:tcBorders>
          </w:tcPr>
          <w:p w14:paraId="4C237598" w14:textId="5B6B349E" w:rsidR="00F80E30" w:rsidRDefault="00F80E30" w:rsidP="00F80E30">
            <w:pPr>
              <w:spacing w:line="259" w:lineRule="auto"/>
              <w:jc w:val="both"/>
            </w:pPr>
            <w:proofErr w:type="spellStart"/>
            <w:r>
              <w:t>Hexyl</w:t>
            </w:r>
            <w:proofErr w:type="spellEnd"/>
            <w:r>
              <w:t xml:space="preserve"> benzoate </w:t>
            </w:r>
          </w:p>
        </w:tc>
        <w:tc>
          <w:tcPr>
            <w:tcW w:w="2263" w:type="dxa"/>
            <w:tcBorders>
              <w:top w:val="single" w:sz="4" w:space="0" w:color="0070C0"/>
              <w:left w:val="single" w:sz="4" w:space="0" w:color="0070C0"/>
              <w:bottom w:val="single" w:sz="4" w:space="0" w:color="0070C0"/>
              <w:right w:val="single" w:sz="4" w:space="0" w:color="0070C0"/>
            </w:tcBorders>
          </w:tcPr>
          <w:p w14:paraId="3ACE8AA2" w14:textId="77777777" w:rsidR="00F80E30" w:rsidRDefault="00F80E30" w:rsidP="00F80E30">
            <w:pPr>
              <w:spacing w:after="21" w:line="259" w:lineRule="auto"/>
              <w:ind w:left="1"/>
            </w:pPr>
            <w:r>
              <w:t xml:space="preserve">N° CAS: 6789-88-4 </w:t>
            </w:r>
          </w:p>
          <w:p w14:paraId="20A93EA6" w14:textId="77777777" w:rsidR="00F80E30" w:rsidRDefault="00F80E30" w:rsidP="00F80E30">
            <w:pPr>
              <w:spacing w:after="21" w:line="259" w:lineRule="auto"/>
              <w:ind w:left="1"/>
            </w:pPr>
            <w:r>
              <w:t xml:space="preserve">N° CE: 229-856-5 </w:t>
            </w:r>
          </w:p>
          <w:p w14:paraId="07631F4A" w14:textId="17D518F6" w:rsidR="00F80E30" w:rsidRDefault="00F80E30" w:rsidP="00F80E30">
            <w:pPr>
              <w:spacing w:after="21" w:line="259" w:lineRule="auto"/>
              <w:ind w:left="1"/>
            </w:pPr>
            <w:r>
              <w:t xml:space="preserve">N° REACH: 01-212076874049 </w:t>
            </w:r>
          </w:p>
        </w:tc>
        <w:tc>
          <w:tcPr>
            <w:tcW w:w="1127" w:type="dxa"/>
            <w:tcBorders>
              <w:top w:val="single" w:sz="4" w:space="0" w:color="0070C0"/>
              <w:left w:val="single" w:sz="4" w:space="0" w:color="0070C0"/>
              <w:bottom w:val="single" w:sz="4" w:space="0" w:color="0070C0"/>
              <w:right w:val="single" w:sz="4" w:space="0" w:color="0070C0"/>
            </w:tcBorders>
          </w:tcPr>
          <w:p w14:paraId="00B40FE9" w14:textId="5A49E9EE" w:rsidR="00F80E30" w:rsidRDefault="00020AA2" w:rsidP="00F80E30">
            <w:pPr>
              <w:spacing w:line="259" w:lineRule="auto"/>
              <w:ind w:left="1"/>
            </w:pPr>
            <w:r>
              <w:t>0,49</w:t>
            </w:r>
            <w:r w:rsidR="00F80E30">
              <w:t xml:space="preserve"> </w:t>
            </w:r>
          </w:p>
        </w:tc>
        <w:tc>
          <w:tcPr>
            <w:tcW w:w="3108" w:type="dxa"/>
            <w:tcBorders>
              <w:top w:val="single" w:sz="4" w:space="0" w:color="0070C0"/>
              <w:left w:val="single" w:sz="4" w:space="0" w:color="0070C0"/>
              <w:bottom w:val="single" w:sz="4" w:space="0" w:color="0070C0"/>
              <w:right w:val="single" w:sz="4" w:space="0" w:color="0070C0"/>
            </w:tcBorders>
          </w:tcPr>
          <w:p w14:paraId="16D30FB3" w14:textId="475FE61C" w:rsidR="00F80E30" w:rsidRPr="00F80E30" w:rsidRDefault="00F80E30" w:rsidP="00F80E30">
            <w:pPr>
              <w:spacing w:after="21" w:line="259" w:lineRule="auto"/>
              <w:ind w:left="1"/>
              <w:rPr>
                <w:lang w:val="en-US"/>
              </w:rPr>
            </w:pPr>
            <w:r w:rsidRPr="004C7FBB">
              <w:rPr>
                <w:lang w:val="en-US"/>
              </w:rPr>
              <w:t xml:space="preserve">Aquatic Acute 1, H400 Aquatic Chronic 1, H410 </w:t>
            </w:r>
          </w:p>
        </w:tc>
      </w:tr>
      <w:tr w:rsidR="00F80E30" w14:paraId="4FA93FA3" w14:textId="77777777" w:rsidTr="00BC4BAA">
        <w:tblPrEx>
          <w:tblCellMar>
            <w:right w:w="32" w:type="dxa"/>
          </w:tblCellMar>
        </w:tblPrEx>
        <w:trPr>
          <w:trHeight w:val="1031"/>
        </w:trPr>
        <w:tc>
          <w:tcPr>
            <w:tcW w:w="3958" w:type="dxa"/>
            <w:tcBorders>
              <w:top w:val="single" w:sz="4" w:space="0" w:color="0070C0"/>
              <w:left w:val="single" w:sz="4" w:space="0" w:color="0070C0"/>
              <w:bottom w:val="single" w:sz="4" w:space="0" w:color="0070C0"/>
              <w:right w:val="single" w:sz="4" w:space="0" w:color="0070C0"/>
            </w:tcBorders>
          </w:tcPr>
          <w:p w14:paraId="7FC7CD73" w14:textId="2AFB3A9D" w:rsidR="00F80E30" w:rsidRDefault="00F80E30" w:rsidP="00F80E30">
            <w:pPr>
              <w:spacing w:line="259" w:lineRule="auto"/>
              <w:jc w:val="both"/>
            </w:pPr>
            <w:r>
              <w:t xml:space="preserve">2-methoxy-4-prop-1-en-2-ylphenol </w:t>
            </w:r>
          </w:p>
        </w:tc>
        <w:tc>
          <w:tcPr>
            <w:tcW w:w="2263" w:type="dxa"/>
            <w:tcBorders>
              <w:top w:val="single" w:sz="4" w:space="0" w:color="0070C0"/>
              <w:left w:val="single" w:sz="4" w:space="0" w:color="0070C0"/>
              <w:bottom w:val="single" w:sz="4" w:space="0" w:color="0070C0"/>
              <w:right w:val="single" w:sz="4" w:space="0" w:color="0070C0"/>
            </w:tcBorders>
          </w:tcPr>
          <w:p w14:paraId="0304702E" w14:textId="77777777" w:rsidR="00F80E30" w:rsidRDefault="00F80E30" w:rsidP="00F80E30">
            <w:pPr>
              <w:spacing w:after="21" w:line="259" w:lineRule="auto"/>
              <w:ind w:left="1"/>
            </w:pPr>
            <w:r>
              <w:t xml:space="preserve">N° CAS: 97-54-1 </w:t>
            </w:r>
          </w:p>
          <w:p w14:paraId="5C5051B3" w14:textId="77777777" w:rsidR="00F80E30" w:rsidRDefault="00F80E30" w:rsidP="00F80E30">
            <w:pPr>
              <w:spacing w:after="21" w:line="259" w:lineRule="auto"/>
              <w:ind w:left="1"/>
            </w:pPr>
            <w:r>
              <w:t xml:space="preserve">N° CE: 227-678-2 </w:t>
            </w:r>
          </w:p>
          <w:p w14:paraId="2F21A8EB" w14:textId="105B3AB1" w:rsidR="00F80E30" w:rsidRDefault="00F80E30" w:rsidP="00F80E30">
            <w:pPr>
              <w:spacing w:after="21" w:line="259" w:lineRule="auto"/>
              <w:ind w:left="1"/>
            </w:pPr>
            <w:r>
              <w:t xml:space="preserve">N° REACH: 01-212022368261 </w:t>
            </w:r>
          </w:p>
        </w:tc>
        <w:tc>
          <w:tcPr>
            <w:tcW w:w="1127" w:type="dxa"/>
            <w:tcBorders>
              <w:top w:val="single" w:sz="4" w:space="0" w:color="0070C0"/>
              <w:left w:val="single" w:sz="4" w:space="0" w:color="0070C0"/>
              <w:bottom w:val="single" w:sz="4" w:space="0" w:color="0070C0"/>
              <w:right w:val="single" w:sz="4" w:space="0" w:color="0070C0"/>
            </w:tcBorders>
          </w:tcPr>
          <w:p w14:paraId="395A07D4" w14:textId="5B063F97" w:rsidR="00F80E30" w:rsidRDefault="00020AA2" w:rsidP="00F80E30">
            <w:pPr>
              <w:spacing w:line="259" w:lineRule="auto"/>
              <w:ind w:left="1"/>
            </w:pPr>
            <w:r>
              <w:t>0,09</w:t>
            </w:r>
            <w:r w:rsidR="00F80E30">
              <w:t xml:space="preserve"> </w:t>
            </w:r>
          </w:p>
        </w:tc>
        <w:tc>
          <w:tcPr>
            <w:tcW w:w="3108" w:type="dxa"/>
            <w:tcBorders>
              <w:top w:val="single" w:sz="4" w:space="0" w:color="0070C0"/>
              <w:left w:val="single" w:sz="4" w:space="0" w:color="0070C0"/>
              <w:bottom w:val="single" w:sz="4" w:space="0" w:color="0070C0"/>
              <w:right w:val="single" w:sz="4" w:space="0" w:color="0070C0"/>
            </w:tcBorders>
          </w:tcPr>
          <w:p w14:paraId="42026696" w14:textId="77777777" w:rsidR="00F80E30" w:rsidRDefault="00F80E30" w:rsidP="00F80E30">
            <w:pPr>
              <w:spacing w:after="21" w:line="259" w:lineRule="auto"/>
              <w:ind w:left="1"/>
            </w:pPr>
            <w:r>
              <w:t xml:space="preserve">Acute </w:t>
            </w:r>
            <w:proofErr w:type="spellStart"/>
            <w:r>
              <w:t>Tox</w:t>
            </w:r>
            <w:proofErr w:type="spellEnd"/>
            <w:r>
              <w:t xml:space="preserve">. 4 (par voie orale), H302 </w:t>
            </w:r>
          </w:p>
          <w:p w14:paraId="7126622E" w14:textId="77777777" w:rsidR="00F80E30" w:rsidRDefault="00F80E30" w:rsidP="00F80E30">
            <w:pPr>
              <w:spacing w:after="21" w:line="259" w:lineRule="auto"/>
              <w:ind w:left="1"/>
            </w:pPr>
            <w:r>
              <w:t xml:space="preserve">(ATE=1500 mg/kg de poids corporel) </w:t>
            </w:r>
          </w:p>
          <w:p w14:paraId="689168CF" w14:textId="77777777" w:rsidR="00F80E30" w:rsidRDefault="00F80E30" w:rsidP="00F80E30">
            <w:pPr>
              <w:spacing w:after="22" w:line="259" w:lineRule="auto"/>
              <w:ind w:left="1"/>
            </w:pPr>
            <w:r>
              <w:t xml:space="preserve">Acute </w:t>
            </w:r>
            <w:proofErr w:type="spellStart"/>
            <w:r>
              <w:t>Tox</w:t>
            </w:r>
            <w:proofErr w:type="spellEnd"/>
            <w:r>
              <w:t xml:space="preserve">. 4 (par voie cutanée), H312 </w:t>
            </w:r>
          </w:p>
          <w:p w14:paraId="2D6EAED5" w14:textId="77777777" w:rsidR="00F80E30" w:rsidRDefault="00F80E30" w:rsidP="00F80E30">
            <w:pPr>
              <w:spacing w:after="21" w:line="259" w:lineRule="auto"/>
              <w:ind w:left="1"/>
            </w:pPr>
            <w:r>
              <w:t xml:space="preserve">(ATE=1900 mg/kg de poids corporel) </w:t>
            </w:r>
          </w:p>
          <w:p w14:paraId="0A35EEDC" w14:textId="77777777" w:rsidR="00F80E30" w:rsidRDefault="00F80E30" w:rsidP="00F80E30">
            <w:pPr>
              <w:spacing w:after="21" w:line="259" w:lineRule="auto"/>
              <w:ind w:left="1"/>
            </w:pPr>
            <w:r>
              <w:t xml:space="preserve">Acute </w:t>
            </w:r>
            <w:proofErr w:type="spellStart"/>
            <w:r>
              <w:t>Tox</w:t>
            </w:r>
            <w:proofErr w:type="spellEnd"/>
            <w:r>
              <w:t xml:space="preserve">. 4 (par inhalation), H332 </w:t>
            </w:r>
          </w:p>
          <w:p w14:paraId="52191A5B" w14:textId="77777777" w:rsidR="00F80E30" w:rsidRDefault="00F80E30" w:rsidP="00F80E30">
            <w:pPr>
              <w:spacing w:after="21" w:line="259" w:lineRule="auto"/>
              <w:ind w:left="1"/>
            </w:pPr>
            <w:r>
              <w:t xml:space="preserve">Skin </w:t>
            </w:r>
            <w:proofErr w:type="spellStart"/>
            <w:r>
              <w:t>Irrit</w:t>
            </w:r>
            <w:proofErr w:type="spellEnd"/>
            <w:r>
              <w:t xml:space="preserve">. 2, H315 </w:t>
            </w:r>
          </w:p>
          <w:p w14:paraId="2814E3E3" w14:textId="77777777" w:rsidR="00F80E30" w:rsidRDefault="00F80E30" w:rsidP="00F80E30">
            <w:pPr>
              <w:spacing w:after="21" w:line="259" w:lineRule="auto"/>
              <w:ind w:left="1"/>
            </w:pPr>
            <w:r>
              <w:t xml:space="preserve">Eye </w:t>
            </w:r>
            <w:proofErr w:type="spellStart"/>
            <w:r>
              <w:t>Irrit</w:t>
            </w:r>
            <w:proofErr w:type="spellEnd"/>
            <w:r>
              <w:t xml:space="preserve">. 2, H319 </w:t>
            </w:r>
          </w:p>
          <w:p w14:paraId="4477323D" w14:textId="77777777" w:rsidR="00F80E30" w:rsidRDefault="00F80E30" w:rsidP="00F80E30">
            <w:pPr>
              <w:spacing w:after="21" w:line="259" w:lineRule="auto"/>
              <w:ind w:left="1"/>
            </w:pPr>
            <w:r>
              <w:t xml:space="preserve">Skin Sens. 1A, H317 </w:t>
            </w:r>
          </w:p>
          <w:p w14:paraId="4DEB1C4B" w14:textId="2BCF1F89" w:rsidR="00F80E30" w:rsidRDefault="00F80E30" w:rsidP="00F80E30">
            <w:pPr>
              <w:spacing w:after="21" w:line="259" w:lineRule="auto"/>
              <w:ind w:left="1"/>
            </w:pPr>
            <w:r>
              <w:t xml:space="preserve">STOT SE 3, H335 </w:t>
            </w:r>
          </w:p>
        </w:tc>
      </w:tr>
    </w:tbl>
    <w:p w14:paraId="5D5B29AD" w14:textId="77777777" w:rsidR="00842C6E" w:rsidRPr="00484E4B" w:rsidRDefault="00842C6E" w:rsidP="00B84FFD">
      <w:pPr>
        <w:spacing w:before="120" w:after="120" w:line="240" w:lineRule="auto"/>
        <w:rPr>
          <w:rFonts w:cs="Calibri"/>
          <w:sz w:val="20"/>
          <w:szCs w:val="20"/>
        </w:rPr>
      </w:pPr>
    </w:p>
    <w:p w14:paraId="20AFB066" w14:textId="77777777" w:rsidR="00364E68" w:rsidRPr="00484E4B" w:rsidRDefault="00364E68" w:rsidP="00B84FFD">
      <w:pPr>
        <w:spacing w:before="120" w:after="120" w:line="240" w:lineRule="auto"/>
        <w:rPr>
          <w:rFonts w:cs="Calibri"/>
          <w:sz w:val="20"/>
          <w:szCs w:val="20"/>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 xml:space="preserve">Laver immédiatement et abondamment avec de l'eau et du savon. Rincer ensuite à l'eau claire. En cas d'irritations cutanées persistantes, consulter un </w:t>
      </w:r>
      <w:r w:rsidRPr="003A0B67">
        <w:rPr>
          <w:rFonts w:ascii="Calibri" w:eastAsia="Calibri" w:hAnsi="Calibri" w:cs="Times New Roman"/>
          <w:sz w:val="22"/>
          <w:szCs w:val="22"/>
        </w:rPr>
        <w:lastRenderedPageBreak/>
        <w:t>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9AFA670"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232ED1" w:rsidRPr="00232ED1">
        <w:rPr>
          <w:rFonts w:ascii="Calibri" w:eastAsia="Calibri" w:hAnsi="Calibri" w:cs="Times New Roman"/>
          <w:sz w:val="22"/>
          <w:szCs w:val="22"/>
        </w:rPr>
        <w:t>Peut provoquer une allergie cutanée.</w:t>
      </w:r>
      <w:r w:rsidR="00232ED1">
        <w:t xml:space="preserve"> </w:t>
      </w:r>
      <w:r w:rsidRPr="001E428B">
        <w:rPr>
          <w:rFonts w:ascii="Calibri" w:eastAsia="Calibri" w:hAnsi="Calibri" w:cs="Times New Roman"/>
          <w:sz w:val="22"/>
          <w:szCs w:val="22"/>
        </w:rPr>
        <w:t xml:space="preserve"> </w:t>
      </w:r>
    </w:p>
    <w:p w14:paraId="43ADF08A" w14:textId="5971B16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162CE9" w:rsidRPr="00162CE9">
        <w:rPr>
          <w:rFonts w:ascii="Calibri" w:eastAsia="Calibri" w:hAnsi="Calibri" w:cs="Calibri"/>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xml:space="preserve">: </w:t>
      </w:r>
      <w:r w:rsidRPr="00162CE9">
        <w:rPr>
          <w:rFonts w:ascii="Calibri" w:eastAsia="Calibri" w:hAnsi="Calibri" w:cs="Calibri"/>
          <w:sz w:val="22"/>
          <w:szCs w:val="22"/>
        </w:rPr>
        <w:t>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lastRenderedPageBreak/>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03FD362D" w14:textId="77777777" w:rsidR="00221EAB" w:rsidRPr="00221EAB" w:rsidRDefault="00221EAB" w:rsidP="00221EAB">
      <w:pPr>
        <w:pStyle w:val="Corpsdetexte"/>
        <w:tabs>
          <w:tab w:val="left" w:pos="3926"/>
        </w:tabs>
        <w:spacing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(orale)</w:t>
      </w:r>
      <w:r w:rsidRPr="00221EAB">
        <w:rPr>
          <w:rFonts w:ascii="Calibri" w:eastAsia="Calibri" w:hAnsi="Calibri" w:cs="Times New Roman"/>
          <w:sz w:val="22"/>
          <w:szCs w:val="22"/>
        </w:rPr>
        <w:tab/>
        <w:t>: Non classé</w:t>
      </w:r>
    </w:p>
    <w:p w14:paraId="241408EF" w14:textId="77777777" w:rsidR="00221EAB" w:rsidRPr="00221EAB" w:rsidRDefault="00221EAB" w:rsidP="00221EAB">
      <w:pPr>
        <w:pStyle w:val="Corpsdetexte"/>
        <w:tabs>
          <w:tab w:val="left" w:pos="3926"/>
        </w:tabs>
        <w:spacing w:before="17" w:line="276" w:lineRule="auto"/>
        <w:ind w:left="120"/>
        <w:rPr>
          <w:rFonts w:ascii="Calibri" w:eastAsia="Calibri" w:hAnsi="Calibri" w:cs="Times New Roman"/>
          <w:sz w:val="22"/>
          <w:szCs w:val="22"/>
        </w:rPr>
      </w:pPr>
      <w:r w:rsidRPr="00221EAB">
        <w:rPr>
          <w:rFonts w:ascii="Calibri" w:eastAsia="Calibri" w:hAnsi="Calibri" w:cs="Times New Roman"/>
          <w:sz w:val="22"/>
          <w:szCs w:val="22"/>
        </w:rPr>
        <w:lastRenderedPageBreak/>
        <w:t>Toxicité aiguë (cutanée)</w:t>
      </w:r>
      <w:r w:rsidRPr="00221EAB">
        <w:rPr>
          <w:rFonts w:ascii="Calibri" w:eastAsia="Calibri" w:hAnsi="Calibri" w:cs="Times New Roman"/>
          <w:sz w:val="22"/>
          <w:szCs w:val="22"/>
        </w:rPr>
        <w:tab/>
        <w:t>: Non classé</w:t>
      </w:r>
    </w:p>
    <w:p w14:paraId="29A2D020" w14:textId="5E151FA8" w:rsidR="00E232C1" w:rsidRDefault="00221EAB" w:rsidP="00E232C1">
      <w:pPr>
        <w:pStyle w:val="Corpsdetexte"/>
        <w:tabs>
          <w:tab w:val="left" w:pos="3926"/>
        </w:tabs>
        <w:spacing w:before="37" w:line="276" w:lineRule="auto"/>
        <w:ind w:left="120"/>
        <w:rPr>
          <w:rFonts w:ascii="Calibri" w:eastAsia="Calibri" w:hAnsi="Calibri" w:cs="Times New Roman"/>
          <w:sz w:val="22"/>
          <w:szCs w:val="22"/>
        </w:rPr>
      </w:pPr>
      <w:r w:rsidRPr="00221EAB">
        <w:rPr>
          <w:rFonts w:ascii="Calibri" w:eastAsia="Calibri" w:hAnsi="Calibri" w:cs="Times New Roman"/>
          <w:sz w:val="22"/>
          <w:szCs w:val="22"/>
        </w:rPr>
        <w:t>Toxicité aiguë (Inhalation)</w:t>
      </w:r>
      <w:r w:rsidRPr="00221EAB">
        <w:rPr>
          <w:rFonts w:ascii="Calibri" w:eastAsia="Calibri" w:hAnsi="Calibri" w:cs="Times New Roman"/>
          <w:sz w:val="22"/>
          <w:szCs w:val="22"/>
        </w:rPr>
        <w:tab/>
        <w:t>: Non classé</w:t>
      </w:r>
    </w:p>
    <w:p w14:paraId="3ADAE30B" w14:textId="77777777" w:rsidR="00FF509A" w:rsidRDefault="00FF509A" w:rsidP="00FF509A">
      <w:pPr>
        <w:spacing w:after="5" w:line="259" w:lineRule="auto"/>
      </w:pPr>
      <w:r>
        <w:rPr>
          <w:sz w:val="2"/>
        </w:rPr>
        <w:t xml:space="preserve"> </w:t>
      </w:r>
    </w:p>
    <w:p w14:paraId="6DCF1A08" w14:textId="77777777" w:rsidR="00B35533" w:rsidRDefault="00B35533" w:rsidP="00B35533">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B35533" w14:paraId="2F13F1C6" w14:textId="77777777" w:rsidTr="00F84E51">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4C7EC50" w14:textId="77777777" w:rsidR="00B35533" w:rsidRDefault="00B35533" w:rsidP="00F84E51">
            <w:pPr>
              <w:spacing w:line="259" w:lineRule="auto"/>
            </w:pPr>
            <w:r>
              <w:rPr>
                <w:b/>
                <w:color w:val="0070C0"/>
                <w:sz w:val="18"/>
              </w:rPr>
              <w:t xml:space="preserve">2-methoxy-4-prop-1-en-2-ylphenol (97-54-1) </w:t>
            </w:r>
          </w:p>
        </w:tc>
        <w:tc>
          <w:tcPr>
            <w:tcW w:w="6520" w:type="dxa"/>
            <w:tcBorders>
              <w:top w:val="double" w:sz="4" w:space="0" w:color="0070C0"/>
              <w:left w:val="nil"/>
              <w:bottom w:val="single" w:sz="4" w:space="0" w:color="0070C0"/>
              <w:right w:val="single" w:sz="4" w:space="0" w:color="0070C0"/>
            </w:tcBorders>
            <w:shd w:val="clear" w:color="auto" w:fill="BDD6EE"/>
          </w:tcPr>
          <w:p w14:paraId="24C184E4" w14:textId="77777777" w:rsidR="00B35533" w:rsidRDefault="00B35533" w:rsidP="00F84E51">
            <w:pPr>
              <w:spacing w:after="160" w:line="259" w:lineRule="auto"/>
            </w:pPr>
          </w:p>
        </w:tc>
      </w:tr>
      <w:tr w:rsidR="00B35533" w:rsidRPr="00B35533" w14:paraId="255ADC4A" w14:textId="77777777" w:rsidTr="00F84E51">
        <w:trPr>
          <w:trHeight w:val="366"/>
        </w:trPr>
        <w:tc>
          <w:tcPr>
            <w:tcW w:w="3969" w:type="dxa"/>
            <w:tcBorders>
              <w:top w:val="single" w:sz="4" w:space="0" w:color="0070C0"/>
              <w:left w:val="single" w:sz="4" w:space="0" w:color="0070C0"/>
              <w:bottom w:val="single" w:sz="4" w:space="0" w:color="0070C0"/>
              <w:right w:val="single" w:sz="4" w:space="0" w:color="0070C0"/>
            </w:tcBorders>
          </w:tcPr>
          <w:p w14:paraId="2B2F15B1" w14:textId="77777777" w:rsidR="00B35533" w:rsidRDefault="00B35533" w:rsidP="00F84E51">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485FFC32" w14:textId="77777777" w:rsidR="00B35533" w:rsidRPr="004C7FBB" w:rsidRDefault="00B35533" w:rsidP="00F84E51">
            <w:pPr>
              <w:spacing w:line="259" w:lineRule="auto"/>
              <w:ind w:left="1"/>
              <w:rPr>
                <w:lang w:val="en-US"/>
              </w:rPr>
            </w:pPr>
            <w:r w:rsidRPr="004C7FBB">
              <w:rPr>
                <w:lang w:val="en-US"/>
              </w:rPr>
              <w:t xml:space="preserve">1560 mg/kg Source: Corporate Solution From Thomson Micromedex </w:t>
            </w:r>
          </w:p>
        </w:tc>
      </w:tr>
      <w:tr w:rsidR="00B35533" w14:paraId="383332BC" w14:textId="77777777" w:rsidTr="00F84E51">
        <w:trPr>
          <w:trHeight w:val="346"/>
        </w:trPr>
        <w:tc>
          <w:tcPr>
            <w:tcW w:w="3969" w:type="dxa"/>
            <w:tcBorders>
              <w:top w:val="single" w:sz="4" w:space="0" w:color="0070C0"/>
              <w:left w:val="single" w:sz="4" w:space="0" w:color="0070C0"/>
              <w:bottom w:val="single" w:sz="4" w:space="0" w:color="0070C0"/>
              <w:right w:val="single" w:sz="4" w:space="0" w:color="0070C0"/>
            </w:tcBorders>
          </w:tcPr>
          <w:p w14:paraId="29C1B95B" w14:textId="77777777" w:rsidR="00B35533" w:rsidRDefault="00B35533" w:rsidP="00F84E51">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07F0B3ED" w14:textId="77777777" w:rsidR="00B35533" w:rsidRDefault="00B35533" w:rsidP="00F84E51">
            <w:pPr>
              <w:spacing w:line="259" w:lineRule="auto"/>
              <w:ind w:left="1"/>
            </w:pPr>
            <w:r>
              <w:t xml:space="preserve">1500 mg/kg </w:t>
            </w:r>
          </w:p>
        </w:tc>
      </w:tr>
      <w:tr w:rsidR="00B35533" w14:paraId="661FCC6F" w14:textId="77777777" w:rsidTr="00F84E51">
        <w:trPr>
          <w:trHeight w:val="384"/>
        </w:trPr>
        <w:tc>
          <w:tcPr>
            <w:tcW w:w="3969" w:type="dxa"/>
            <w:tcBorders>
              <w:top w:val="single" w:sz="4" w:space="0" w:color="0070C0"/>
              <w:left w:val="single" w:sz="4" w:space="0" w:color="0070C0"/>
              <w:bottom w:val="double" w:sz="4" w:space="0" w:color="0070C0"/>
              <w:right w:val="single" w:sz="4" w:space="0" w:color="0070C0"/>
            </w:tcBorders>
          </w:tcPr>
          <w:p w14:paraId="1F2E3383" w14:textId="77777777" w:rsidR="00B35533" w:rsidRDefault="00B35533" w:rsidP="00F84E51">
            <w:pPr>
              <w:spacing w:line="259" w:lineRule="auto"/>
            </w:pPr>
            <w:r>
              <w:t xml:space="preserve">DL50 voie cutanée </w:t>
            </w:r>
          </w:p>
        </w:tc>
        <w:tc>
          <w:tcPr>
            <w:tcW w:w="6520" w:type="dxa"/>
            <w:tcBorders>
              <w:top w:val="single" w:sz="4" w:space="0" w:color="0070C0"/>
              <w:left w:val="single" w:sz="4" w:space="0" w:color="0070C0"/>
              <w:bottom w:val="double" w:sz="4" w:space="0" w:color="0070C0"/>
              <w:right w:val="single" w:sz="4" w:space="0" w:color="0070C0"/>
            </w:tcBorders>
          </w:tcPr>
          <w:p w14:paraId="4A7ADA91" w14:textId="77777777" w:rsidR="00B35533" w:rsidRDefault="00B35533" w:rsidP="00F84E51">
            <w:pPr>
              <w:spacing w:line="259" w:lineRule="auto"/>
              <w:ind w:left="1"/>
            </w:pPr>
            <w:r>
              <w:t xml:space="preserve">1900 mg/kg </w:t>
            </w:r>
          </w:p>
        </w:tc>
      </w:tr>
      <w:tr w:rsidR="00B35533" w14:paraId="0E2673A9" w14:textId="77777777" w:rsidTr="00F84E5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87EC9E6" w14:textId="77777777" w:rsidR="00B35533" w:rsidRDefault="00B35533" w:rsidP="00F84E51">
            <w:pPr>
              <w:spacing w:line="259" w:lineRule="auto"/>
            </w:pPr>
            <w:proofErr w:type="spellStart"/>
            <w:r>
              <w:rPr>
                <w:b/>
                <w:color w:val="0070C0"/>
                <w:sz w:val="18"/>
              </w:rPr>
              <w:t>Hexyl</w:t>
            </w:r>
            <w:proofErr w:type="spellEnd"/>
            <w:r>
              <w:rPr>
                <w:b/>
                <w:color w:val="0070C0"/>
                <w:sz w:val="18"/>
              </w:rPr>
              <w:t xml:space="preserve"> benzoate (6789-88-4) </w:t>
            </w:r>
          </w:p>
        </w:tc>
        <w:tc>
          <w:tcPr>
            <w:tcW w:w="6520" w:type="dxa"/>
            <w:tcBorders>
              <w:top w:val="double" w:sz="4" w:space="0" w:color="0070C0"/>
              <w:left w:val="nil"/>
              <w:bottom w:val="single" w:sz="4" w:space="0" w:color="0070C0"/>
              <w:right w:val="single" w:sz="4" w:space="0" w:color="0070C0"/>
            </w:tcBorders>
            <w:shd w:val="clear" w:color="auto" w:fill="BDD6EE"/>
          </w:tcPr>
          <w:p w14:paraId="131455A6" w14:textId="77777777" w:rsidR="00B35533" w:rsidRDefault="00B35533" w:rsidP="00F84E51">
            <w:pPr>
              <w:spacing w:after="160" w:line="259" w:lineRule="auto"/>
            </w:pPr>
          </w:p>
        </w:tc>
      </w:tr>
      <w:tr w:rsidR="00B35533" w:rsidRPr="00B35533" w14:paraId="1789109E" w14:textId="77777777" w:rsidTr="00F84E51">
        <w:trPr>
          <w:trHeight w:val="368"/>
        </w:trPr>
        <w:tc>
          <w:tcPr>
            <w:tcW w:w="3969" w:type="dxa"/>
            <w:tcBorders>
              <w:top w:val="single" w:sz="4" w:space="0" w:color="0070C0"/>
              <w:left w:val="single" w:sz="4" w:space="0" w:color="0070C0"/>
              <w:bottom w:val="single" w:sz="4" w:space="0" w:color="0070C0"/>
              <w:right w:val="single" w:sz="4" w:space="0" w:color="0070C0"/>
            </w:tcBorders>
          </w:tcPr>
          <w:p w14:paraId="742FD044" w14:textId="77777777" w:rsidR="00B35533" w:rsidRDefault="00B35533" w:rsidP="00F84E51">
            <w:pPr>
              <w:spacing w:line="259" w:lineRule="auto"/>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6955B18B" w14:textId="77777777" w:rsidR="00B35533" w:rsidRPr="004C7FBB" w:rsidRDefault="00B35533" w:rsidP="00F84E51">
            <w:pPr>
              <w:spacing w:line="259" w:lineRule="auto"/>
              <w:ind w:left="1"/>
              <w:rPr>
                <w:lang w:val="en-US"/>
              </w:rPr>
            </w:pPr>
            <w:r w:rsidRPr="004C7FBB">
              <w:rPr>
                <w:lang w:val="en-US"/>
              </w:rPr>
              <w:t xml:space="preserve">21000 mg/kg Source: National Library of Medicine </w:t>
            </w:r>
          </w:p>
        </w:tc>
      </w:tr>
    </w:tbl>
    <w:p w14:paraId="004F3F31" w14:textId="77777777" w:rsidR="00B35533" w:rsidRPr="004C7FBB" w:rsidRDefault="00B35533" w:rsidP="00B35533">
      <w:pPr>
        <w:spacing w:after="5" w:line="259" w:lineRule="auto"/>
        <w:rPr>
          <w:lang w:val="en-US"/>
        </w:rPr>
      </w:pPr>
      <w:r w:rsidRPr="004C7FBB">
        <w:rPr>
          <w:sz w:val="2"/>
          <w:lang w:val="en-US"/>
        </w:rPr>
        <w:t xml:space="preserve"> </w:t>
      </w:r>
    </w:p>
    <w:p w14:paraId="37B73F82" w14:textId="77777777" w:rsidR="00B35533" w:rsidRDefault="00B35533" w:rsidP="00B35533">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B35533" w14:paraId="5D9B6AF1" w14:textId="77777777" w:rsidTr="00F84E51">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0C1E38" w14:textId="77777777" w:rsidR="00B35533" w:rsidRDefault="00B35533" w:rsidP="00F84E51">
            <w:pPr>
              <w:spacing w:line="259" w:lineRule="auto"/>
            </w:pPr>
            <w:r>
              <w:rPr>
                <w:b/>
                <w:color w:val="0070C0"/>
                <w:sz w:val="18"/>
              </w:rPr>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47F00277" w14:textId="77777777" w:rsidR="00B35533" w:rsidRDefault="00B35533" w:rsidP="00F84E51">
            <w:pPr>
              <w:spacing w:after="160" w:line="259" w:lineRule="auto"/>
            </w:pPr>
          </w:p>
        </w:tc>
      </w:tr>
      <w:tr w:rsidR="00B35533" w14:paraId="58962E05" w14:textId="77777777" w:rsidTr="00F84E51">
        <w:trPr>
          <w:trHeight w:val="407"/>
        </w:trPr>
        <w:tc>
          <w:tcPr>
            <w:tcW w:w="3969" w:type="dxa"/>
            <w:tcBorders>
              <w:top w:val="single" w:sz="4" w:space="0" w:color="0070C0"/>
              <w:left w:val="single" w:sz="4" w:space="0" w:color="0070C0"/>
              <w:bottom w:val="double" w:sz="4" w:space="0" w:color="0070C0"/>
              <w:right w:val="single" w:sz="4" w:space="0" w:color="0070C0"/>
            </w:tcBorders>
          </w:tcPr>
          <w:p w14:paraId="2E6285FB" w14:textId="77777777" w:rsidR="00B35533" w:rsidRDefault="00B35533" w:rsidP="00F84E51">
            <w:pPr>
              <w:spacing w:line="259" w:lineRule="auto"/>
            </w:pPr>
            <w:r>
              <w:t xml:space="preserve">DL50 orale rat </w:t>
            </w:r>
          </w:p>
        </w:tc>
        <w:tc>
          <w:tcPr>
            <w:tcW w:w="6520" w:type="dxa"/>
            <w:tcBorders>
              <w:top w:val="single" w:sz="4" w:space="0" w:color="0070C0"/>
              <w:left w:val="single" w:sz="4" w:space="0" w:color="0070C0"/>
              <w:bottom w:val="double" w:sz="4" w:space="0" w:color="0070C0"/>
              <w:right w:val="single" w:sz="4" w:space="0" w:color="0070C0"/>
            </w:tcBorders>
          </w:tcPr>
          <w:p w14:paraId="14BAAD47" w14:textId="77777777" w:rsidR="00B35533" w:rsidRDefault="00B35533" w:rsidP="00F84E51">
            <w:pPr>
              <w:spacing w:line="259" w:lineRule="auto"/>
              <w:ind w:left="1"/>
            </w:pPr>
            <w:r>
              <w:t xml:space="preserve">2790 mg/kg Source: ECHA </w:t>
            </w:r>
          </w:p>
        </w:tc>
      </w:tr>
      <w:tr w:rsidR="00B35533" w14:paraId="08BFAEDE" w14:textId="77777777" w:rsidTr="00F84E5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705C9F" w14:textId="77777777" w:rsidR="00B35533" w:rsidRDefault="00B35533" w:rsidP="00F84E51">
            <w:pPr>
              <w:spacing w:line="259" w:lineRule="auto"/>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359DFB55" w14:textId="77777777" w:rsidR="00B35533" w:rsidRDefault="00B35533" w:rsidP="00F84E51">
            <w:pPr>
              <w:spacing w:after="160" w:line="259" w:lineRule="auto"/>
            </w:pPr>
          </w:p>
        </w:tc>
      </w:tr>
      <w:tr w:rsidR="00B35533" w:rsidRPr="00B35533" w14:paraId="7D204A59" w14:textId="77777777" w:rsidTr="00F84E51">
        <w:trPr>
          <w:trHeight w:val="368"/>
        </w:trPr>
        <w:tc>
          <w:tcPr>
            <w:tcW w:w="3969" w:type="dxa"/>
            <w:tcBorders>
              <w:top w:val="single" w:sz="4" w:space="0" w:color="0070C0"/>
              <w:left w:val="single" w:sz="4" w:space="0" w:color="0070C0"/>
              <w:bottom w:val="single" w:sz="4" w:space="0" w:color="0070C0"/>
              <w:right w:val="single" w:sz="4" w:space="0" w:color="0070C0"/>
            </w:tcBorders>
          </w:tcPr>
          <w:p w14:paraId="3CA43CF6" w14:textId="77777777" w:rsidR="00B35533" w:rsidRDefault="00B35533" w:rsidP="00F84E51">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03C379B2" w14:textId="77777777" w:rsidR="00B35533" w:rsidRPr="004C7FBB" w:rsidRDefault="00B35533" w:rsidP="00F84E51">
            <w:pPr>
              <w:spacing w:line="259" w:lineRule="auto"/>
              <w:ind w:left="1"/>
              <w:rPr>
                <w:lang w:val="en-US"/>
              </w:rPr>
            </w:pPr>
            <w:r w:rsidRPr="004C7FBB">
              <w:rPr>
                <w:lang w:val="en-US"/>
              </w:rPr>
              <w:t xml:space="preserve">3000 mg/kg Source: OECD Screening Information Data Set </w:t>
            </w:r>
          </w:p>
        </w:tc>
      </w:tr>
      <w:tr w:rsidR="00B35533" w14:paraId="0C17A7DA" w14:textId="77777777" w:rsidTr="00F84E51">
        <w:trPr>
          <w:trHeight w:val="346"/>
        </w:trPr>
        <w:tc>
          <w:tcPr>
            <w:tcW w:w="3969" w:type="dxa"/>
            <w:tcBorders>
              <w:top w:val="single" w:sz="4" w:space="0" w:color="0070C0"/>
              <w:left w:val="single" w:sz="4" w:space="0" w:color="0070C0"/>
              <w:bottom w:val="single" w:sz="4" w:space="0" w:color="0070C0"/>
              <w:right w:val="single" w:sz="4" w:space="0" w:color="0070C0"/>
            </w:tcBorders>
          </w:tcPr>
          <w:p w14:paraId="5AD12A5F" w14:textId="77777777" w:rsidR="00B35533" w:rsidRDefault="00B35533" w:rsidP="00F84E51">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25536A09" w14:textId="77777777" w:rsidR="00B35533" w:rsidRDefault="00B35533" w:rsidP="00F84E51">
            <w:pPr>
              <w:spacing w:line="259" w:lineRule="auto"/>
              <w:ind w:left="1"/>
            </w:pPr>
            <w:r>
              <w:t xml:space="preserve">2790 mg/kg </w:t>
            </w:r>
          </w:p>
        </w:tc>
      </w:tr>
      <w:tr w:rsidR="00B35533" w:rsidRPr="00B35533" w14:paraId="66723142" w14:textId="77777777" w:rsidTr="00F84E51">
        <w:trPr>
          <w:trHeight w:val="384"/>
        </w:trPr>
        <w:tc>
          <w:tcPr>
            <w:tcW w:w="3969" w:type="dxa"/>
            <w:tcBorders>
              <w:top w:val="single" w:sz="4" w:space="0" w:color="0070C0"/>
              <w:left w:val="single" w:sz="4" w:space="0" w:color="0070C0"/>
              <w:bottom w:val="double" w:sz="4" w:space="0" w:color="0070C0"/>
              <w:right w:val="single" w:sz="4" w:space="0" w:color="0070C0"/>
            </w:tcBorders>
          </w:tcPr>
          <w:p w14:paraId="028EFBBD" w14:textId="77777777" w:rsidR="00B35533" w:rsidRDefault="00B35533" w:rsidP="00F84E51">
            <w:pPr>
              <w:spacing w:line="259" w:lineRule="auto"/>
            </w:pPr>
            <w:r>
              <w:t xml:space="preserve">DL50 cutanée lapin </w:t>
            </w:r>
          </w:p>
        </w:tc>
        <w:tc>
          <w:tcPr>
            <w:tcW w:w="6520" w:type="dxa"/>
            <w:tcBorders>
              <w:top w:val="single" w:sz="4" w:space="0" w:color="0070C0"/>
              <w:left w:val="single" w:sz="4" w:space="0" w:color="0070C0"/>
              <w:bottom w:val="double" w:sz="4" w:space="0" w:color="0070C0"/>
              <w:right w:val="single" w:sz="4" w:space="0" w:color="0070C0"/>
            </w:tcBorders>
          </w:tcPr>
          <w:p w14:paraId="425C3536" w14:textId="77777777" w:rsidR="00B35533" w:rsidRPr="004C7FBB" w:rsidRDefault="00B35533" w:rsidP="00F84E51">
            <w:pPr>
              <w:spacing w:line="259" w:lineRule="auto"/>
              <w:ind w:left="1"/>
              <w:rPr>
                <w:lang w:val="en-US"/>
              </w:rPr>
            </w:pPr>
            <w:r w:rsidRPr="004C7FBB">
              <w:rPr>
                <w:lang w:val="en-US"/>
              </w:rPr>
              <w:t xml:space="preserve">≥ 2000 mg/kg Source: OECD Screening Information Data Set </w:t>
            </w:r>
          </w:p>
        </w:tc>
      </w:tr>
      <w:tr w:rsidR="00B35533" w14:paraId="29EE9914" w14:textId="77777777" w:rsidTr="00F84E5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D89D3F" w14:textId="77777777" w:rsidR="00B35533" w:rsidRDefault="00B35533" w:rsidP="00F84E51">
            <w:pPr>
              <w:spacing w:line="259" w:lineRule="auto"/>
            </w:pPr>
            <w:r>
              <w:rPr>
                <w:b/>
                <w:color w:val="0070C0"/>
                <w:sz w:val="18"/>
              </w:rPr>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221565C9" w14:textId="77777777" w:rsidR="00B35533" w:rsidRDefault="00B35533" w:rsidP="00F84E51">
            <w:pPr>
              <w:spacing w:after="160" w:line="259" w:lineRule="auto"/>
            </w:pPr>
          </w:p>
        </w:tc>
      </w:tr>
      <w:tr w:rsidR="00B35533" w14:paraId="0A183F7B" w14:textId="77777777" w:rsidTr="00F84E51">
        <w:trPr>
          <w:trHeight w:val="368"/>
        </w:trPr>
        <w:tc>
          <w:tcPr>
            <w:tcW w:w="3969" w:type="dxa"/>
            <w:tcBorders>
              <w:top w:val="single" w:sz="4" w:space="0" w:color="0070C0"/>
              <w:left w:val="single" w:sz="4" w:space="0" w:color="0070C0"/>
              <w:bottom w:val="single" w:sz="4" w:space="0" w:color="0070C0"/>
              <w:right w:val="single" w:sz="4" w:space="0" w:color="0070C0"/>
            </w:tcBorders>
          </w:tcPr>
          <w:p w14:paraId="41734B90" w14:textId="77777777" w:rsidR="00B35533" w:rsidRDefault="00B35533" w:rsidP="00F84E51">
            <w:pPr>
              <w:spacing w:line="259" w:lineRule="auto"/>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7F26AF19" w14:textId="77777777" w:rsidR="00B35533" w:rsidRDefault="00B35533" w:rsidP="00F84E51">
            <w:pPr>
              <w:spacing w:line="259" w:lineRule="auto"/>
              <w:ind w:left="1"/>
            </w:pPr>
            <w:r>
              <w:t xml:space="preserve">&gt; 3000 mg/kg Source: ECHA </w:t>
            </w:r>
          </w:p>
        </w:tc>
      </w:tr>
      <w:tr w:rsidR="00B35533" w14:paraId="0B483C23" w14:textId="77777777" w:rsidTr="00F84E51">
        <w:trPr>
          <w:trHeight w:val="346"/>
        </w:trPr>
        <w:tc>
          <w:tcPr>
            <w:tcW w:w="3969" w:type="dxa"/>
            <w:tcBorders>
              <w:top w:val="single" w:sz="4" w:space="0" w:color="0070C0"/>
              <w:left w:val="single" w:sz="4" w:space="0" w:color="0070C0"/>
              <w:bottom w:val="single" w:sz="4" w:space="0" w:color="0070C0"/>
              <w:right w:val="single" w:sz="4" w:space="0" w:color="0070C0"/>
            </w:tcBorders>
          </w:tcPr>
          <w:p w14:paraId="5F480CA7" w14:textId="77777777" w:rsidR="00B35533" w:rsidRDefault="00B35533" w:rsidP="00F84E51">
            <w:pPr>
              <w:spacing w:line="259" w:lineRule="auto"/>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6A1A3AA2" w14:textId="77777777" w:rsidR="00B35533" w:rsidRDefault="00B35533" w:rsidP="00F84E51">
            <w:pPr>
              <w:spacing w:line="259" w:lineRule="auto"/>
              <w:ind w:left="1"/>
            </w:pPr>
            <w:r>
              <w:t xml:space="preserve">2200 mg/kg </w:t>
            </w:r>
          </w:p>
        </w:tc>
      </w:tr>
      <w:tr w:rsidR="00B35533" w14:paraId="29A2FAAF" w14:textId="77777777" w:rsidTr="00F84E51">
        <w:trPr>
          <w:trHeight w:val="343"/>
        </w:trPr>
        <w:tc>
          <w:tcPr>
            <w:tcW w:w="3969" w:type="dxa"/>
            <w:tcBorders>
              <w:top w:val="single" w:sz="4" w:space="0" w:color="0070C0"/>
              <w:left w:val="single" w:sz="4" w:space="0" w:color="0070C0"/>
              <w:bottom w:val="single" w:sz="4" w:space="0" w:color="0070C0"/>
              <w:right w:val="single" w:sz="4" w:space="0" w:color="0070C0"/>
            </w:tcBorders>
          </w:tcPr>
          <w:p w14:paraId="6D37B1AD" w14:textId="77777777" w:rsidR="00B35533" w:rsidRDefault="00B35533" w:rsidP="00F84E51">
            <w:pPr>
              <w:spacing w:line="259" w:lineRule="auto"/>
            </w:pPr>
            <w:r>
              <w:t xml:space="preserve">DL50 cutanée rat </w:t>
            </w:r>
          </w:p>
        </w:tc>
        <w:tc>
          <w:tcPr>
            <w:tcW w:w="6520" w:type="dxa"/>
            <w:tcBorders>
              <w:top w:val="single" w:sz="4" w:space="0" w:color="0070C0"/>
              <w:left w:val="single" w:sz="4" w:space="0" w:color="0070C0"/>
              <w:bottom w:val="single" w:sz="4" w:space="0" w:color="0070C0"/>
              <w:right w:val="single" w:sz="4" w:space="0" w:color="0070C0"/>
            </w:tcBorders>
          </w:tcPr>
          <w:p w14:paraId="0CA82513" w14:textId="77777777" w:rsidR="00B35533" w:rsidRDefault="00B35533" w:rsidP="00F84E51">
            <w:pPr>
              <w:spacing w:line="259" w:lineRule="auto"/>
              <w:ind w:left="1"/>
            </w:pPr>
            <w:r>
              <w:t xml:space="preserve">&gt; 2000 mg/kg Source: ECHA </w:t>
            </w:r>
          </w:p>
        </w:tc>
      </w:tr>
    </w:tbl>
    <w:p w14:paraId="6D51083E" w14:textId="77777777" w:rsidR="00627B5B" w:rsidRDefault="00627B5B" w:rsidP="00980DBA">
      <w:pPr>
        <w:pStyle w:val="Corpsdetexte"/>
        <w:spacing w:before="6"/>
        <w:rPr>
          <w:rFonts w:ascii="Calibri" w:eastAsia="Calibri" w:hAnsi="Calibri" w:cs="Times New Roman"/>
          <w:sz w:val="22"/>
          <w:szCs w:val="22"/>
        </w:rPr>
      </w:pPr>
    </w:p>
    <w:p w14:paraId="614B7268" w14:textId="788BABD1" w:rsidR="00B35533" w:rsidRDefault="001C2CB1" w:rsidP="00980DBA">
      <w:pPr>
        <w:pStyle w:val="Corpsdetexte"/>
        <w:spacing w:before="6"/>
      </w:pPr>
      <w:r>
        <w:t xml:space="preserve">Corrosion cutanée/irritation cutanée </w:t>
      </w:r>
      <w:r>
        <w:tab/>
        <w:t>: Provoque une irritation cutanée.</w:t>
      </w:r>
    </w:p>
    <w:p w14:paraId="3554F9D1" w14:textId="77777777" w:rsidR="001C2CB1" w:rsidRDefault="001C2CB1" w:rsidP="00980DBA">
      <w:pPr>
        <w:pStyle w:val="Corpsdetexte"/>
        <w:spacing w:before="6"/>
      </w:pPr>
    </w:p>
    <w:tbl>
      <w:tblPr>
        <w:tblStyle w:val="TableGrid"/>
        <w:tblW w:w="10489" w:type="dxa"/>
        <w:tblInd w:w="10" w:type="dxa"/>
        <w:tblCellMar>
          <w:top w:w="32" w:type="dxa"/>
          <w:right w:w="79" w:type="dxa"/>
        </w:tblCellMar>
        <w:tblLook w:val="04A0" w:firstRow="1" w:lastRow="0" w:firstColumn="1" w:lastColumn="0" w:noHBand="0" w:noVBand="1"/>
      </w:tblPr>
      <w:tblGrid>
        <w:gridCol w:w="3800"/>
        <w:gridCol w:w="169"/>
        <w:gridCol w:w="6520"/>
      </w:tblGrid>
      <w:tr w:rsidR="00295406" w14:paraId="3EA3D41B" w14:textId="77777777" w:rsidTr="008F4FCE">
        <w:trPr>
          <w:trHeight w:val="244"/>
        </w:trPr>
        <w:tc>
          <w:tcPr>
            <w:tcW w:w="3800" w:type="dxa"/>
            <w:tcBorders>
              <w:top w:val="nil"/>
              <w:left w:val="nil"/>
              <w:bottom w:val="nil"/>
              <w:right w:val="nil"/>
            </w:tcBorders>
          </w:tcPr>
          <w:p w14:paraId="60BDFF47" w14:textId="77777777" w:rsidR="00295406" w:rsidRDefault="00295406" w:rsidP="00F84E51">
            <w:pPr>
              <w:spacing w:line="259" w:lineRule="auto"/>
              <w:ind w:left="-5"/>
            </w:pPr>
            <w:r>
              <w:t xml:space="preserve">Mutagénicité sur les cellules germinales </w:t>
            </w:r>
          </w:p>
        </w:tc>
        <w:tc>
          <w:tcPr>
            <w:tcW w:w="169" w:type="dxa"/>
            <w:tcBorders>
              <w:top w:val="nil"/>
              <w:left w:val="nil"/>
              <w:bottom w:val="nil"/>
              <w:right w:val="nil"/>
            </w:tcBorders>
          </w:tcPr>
          <w:p w14:paraId="73F73802" w14:textId="77777777" w:rsidR="00295406" w:rsidRDefault="00295406" w:rsidP="00F84E51">
            <w:pPr>
              <w:spacing w:line="259" w:lineRule="auto"/>
            </w:pPr>
            <w:r>
              <w:t xml:space="preserve">: </w:t>
            </w:r>
          </w:p>
        </w:tc>
        <w:tc>
          <w:tcPr>
            <w:tcW w:w="6520" w:type="dxa"/>
            <w:tcBorders>
              <w:top w:val="nil"/>
              <w:left w:val="nil"/>
              <w:bottom w:val="nil"/>
              <w:right w:val="nil"/>
            </w:tcBorders>
          </w:tcPr>
          <w:p w14:paraId="6E2C902C" w14:textId="77777777" w:rsidR="00295406" w:rsidRDefault="00295406" w:rsidP="00F84E51">
            <w:pPr>
              <w:spacing w:line="259" w:lineRule="auto"/>
              <w:ind w:left="-4"/>
            </w:pPr>
            <w:r>
              <w:t xml:space="preserve">Non classé </w:t>
            </w:r>
          </w:p>
        </w:tc>
      </w:tr>
      <w:tr w:rsidR="00295406" w14:paraId="677B0732" w14:textId="77777777" w:rsidTr="008F4FCE">
        <w:trPr>
          <w:trHeight w:val="277"/>
        </w:trPr>
        <w:tc>
          <w:tcPr>
            <w:tcW w:w="3800" w:type="dxa"/>
            <w:tcBorders>
              <w:top w:val="nil"/>
              <w:left w:val="nil"/>
              <w:bottom w:val="single" w:sz="4" w:space="0" w:color="0070C0"/>
              <w:right w:val="nil"/>
            </w:tcBorders>
          </w:tcPr>
          <w:p w14:paraId="2E0CEDD8" w14:textId="77777777" w:rsidR="00295406" w:rsidRDefault="00295406" w:rsidP="00F84E51">
            <w:pPr>
              <w:spacing w:line="259" w:lineRule="auto"/>
              <w:ind w:left="-5"/>
            </w:pPr>
            <w:r>
              <w:t xml:space="preserve">Cancérogénicité </w:t>
            </w:r>
          </w:p>
        </w:tc>
        <w:tc>
          <w:tcPr>
            <w:tcW w:w="169" w:type="dxa"/>
            <w:tcBorders>
              <w:top w:val="nil"/>
              <w:left w:val="nil"/>
              <w:bottom w:val="single" w:sz="4" w:space="0" w:color="0070C0"/>
              <w:right w:val="nil"/>
            </w:tcBorders>
          </w:tcPr>
          <w:p w14:paraId="410D4FBC" w14:textId="77777777" w:rsidR="00295406" w:rsidRDefault="00295406" w:rsidP="00F84E51">
            <w:pPr>
              <w:spacing w:line="259" w:lineRule="auto"/>
            </w:pPr>
            <w:r>
              <w:t xml:space="preserve">: </w:t>
            </w:r>
          </w:p>
        </w:tc>
        <w:tc>
          <w:tcPr>
            <w:tcW w:w="6520" w:type="dxa"/>
            <w:tcBorders>
              <w:top w:val="nil"/>
              <w:left w:val="nil"/>
              <w:bottom w:val="single" w:sz="4" w:space="0" w:color="0070C0"/>
              <w:right w:val="nil"/>
            </w:tcBorders>
          </w:tcPr>
          <w:p w14:paraId="36B8B816" w14:textId="77777777" w:rsidR="00295406" w:rsidRDefault="00295406" w:rsidP="00F84E51">
            <w:pPr>
              <w:spacing w:line="259" w:lineRule="auto"/>
              <w:ind w:left="-4"/>
            </w:pPr>
            <w:r>
              <w:t xml:space="preserve">Non classé </w:t>
            </w:r>
          </w:p>
        </w:tc>
      </w:tr>
    </w:tbl>
    <w:p w14:paraId="704DE8AB" w14:textId="77777777" w:rsidR="00295406" w:rsidRDefault="00295406" w:rsidP="00295406">
      <w:pPr>
        <w:ind w:left="-5" w:right="4986"/>
      </w:pPr>
      <w:r>
        <w:t xml:space="preserve">Toxicité spécifique pour certains organes cibles : Non classé (STOT) (exposition unique) </w:t>
      </w:r>
    </w:p>
    <w:p w14:paraId="77E3E34D" w14:textId="77777777" w:rsidR="00295406" w:rsidRDefault="00295406" w:rsidP="00295406">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95406" w14:paraId="3E947F95" w14:textId="77777777" w:rsidTr="00F84E51">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93F27C" w14:textId="77777777" w:rsidR="00295406" w:rsidRDefault="00295406" w:rsidP="00F84E51">
            <w:pPr>
              <w:spacing w:line="259" w:lineRule="auto"/>
            </w:pPr>
            <w:r>
              <w:rPr>
                <w:b/>
                <w:color w:val="0070C0"/>
                <w:sz w:val="18"/>
              </w:rPr>
              <w:lastRenderedPageBreak/>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52CA8671" w14:textId="77777777" w:rsidR="00295406" w:rsidRDefault="00295406" w:rsidP="00F84E51">
            <w:pPr>
              <w:spacing w:after="160" w:line="259" w:lineRule="auto"/>
            </w:pPr>
          </w:p>
        </w:tc>
      </w:tr>
      <w:tr w:rsidR="00295406" w14:paraId="38760593" w14:textId="77777777" w:rsidTr="00F84E51">
        <w:trPr>
          <w:trHeight w:val="589"/>
        </w:trPr>
        <w:tc>
          <w:tcPr>
            <w:tcW w:w="3969" w:type="dxa"/>
            <w:tcBorders>
              <w:top w:val="single" w:sz="4" w:space="0" w:color="0070C0"/>
              <w:left w:val="single" w:sz="4" w:space="0" w:color="0070C0"/>
              <w:bottom w:val="single" w:sz="4" w:space="0" w:color="0070C0"/>
              <w:right w:val="single" w:sz="4" w:space="0" w:color="0070C0"/>
            </w:tcBorders>
          </w:tcPr>
          <w:p w14:paraId="61EF4B7F" w14:textId="77777777" w:rsidR="00295406" w:rsidRDefault="00295406" w:rsidP="00F84E51">
            <w:pPr>
              <w:spacing w:line="259" w:lineRule="auto"/>
            </w:pPr>
            <w:r>
              <w:t xml:space="preserve">Toxicité spécifique pour certains organes cibles (STOT) (exposition unique) </w:t>
            </w:r>
          </w:p>
        </w:tc>
        <w:tc>
          <w:tcPr>
            <w:tcW w:w="6520" w:type="dxa"/>
            <w:tcBorders>
              <w:top w:val="single" w:sz="4" w:space="0" w:color="0070C0"/>
              <w:left w:val="single" w:sz="4" w:space="0" w:color="0070C0"/>
              <w:bottom w:val="single" w:sz="4" w:space="0" w:color="0070C0"/>
              <w:right w:val="single" w:sz="4" w:space="0" w:color="0070C0"/>
            </w:tcBorders>
          </w:tcPr>
          <w:p w14:paraId="34303535" w14:textId="77777777" w:rsidR="00295406" w:rsidRDefault="00295406" w:rsidP="00F84E51">
            <w:pPr>
              <w:spacing w:line="259" w:lineRule="auto"/>
              <w:ind w:left="1"/>
            </w:pPr>
            <w:r>
              <w:t xml:space="preserve">Peut irriter les voies respiratoires.  </w:t>
            </w:r>
          </w:p>
        </w:tc>
      </w:tr>
    </w:tbl>
    <w:p w14:paraId="683332C2" w14:textId="77777777" w:rsidR="001C2CB1" w:rsidRDefault="001C2CB1" w:rsidP="00980DBA">
      <w:pPr>
        <w:pStyle w:val="Corpsdetexte"/>
        <w:spacing w:before="6"/>
        <w:rPr>
          <w:rFonts w:ascii="Calibri" w:eastAsia="Calibri" w:hAnsi="Calibri" w:cs="Times New Roman"/>
          <w:sz w:val="22"/>
          <w:szCs w:val="22"/>
        </w:rPr>
      </w:pPr>
    </w:p>
    <w:p w14:paraId="6B861B4C" w14:textId="70E8493C" w:rsidR="009E669C" w:rsidRDefault="009E669C" w:rsidP="009E669C">
      <w:pPr>
        <w:ind w:left="-5" w:right="412"/>
      </w:pPr>
      <w:r>
        <w:t xml:space="preserve">Toxicité spécifique pour certains organes cibles : Non classé (STOT) (exposition répétée) </w:t>
      </w:r>
    </w:p>
    <w:p w14:paraId="7E75D410" w14:textId="12D22660" w:rsidR="00295406" w:rsidRDefault="009E669C" w:rsidP="009E669C">
      <w:pPr>
        <w:pStyle w:val="Corpsdetexte"/>
        <w:spacing w:before="6"/>
        <w:rPr>
          <w:rFonts w:ascii="Calibri" w:eastAsia="Calibri" w:hAnsi="Calibri" w:cs="Times New Roman"/>
          <w:sz w:val="22"/>
          <w:szCs w:val="22"/>
        </w:rPr>
      </w:pPr>
      <w:r w:rsidRPr="009E669C">
        <w:rPr>
          <w:rFonts w:ascii="Calibri" w:eastAsia="Calibri" w:hAnsi="Calibri" w:cs="Times New Roman"/>
          <w:sz w:val="22"/>
          <w:szCs w:val="22"/>
        </w:rPr>
        <w:t xml:space="preserve">Danger par aspiration </w:t>
      </w:r>
      <w:r w:rsidRPr="009E669C">
        <w:rPr>
          <w:rFonts w:ascii="Calibri" w:eastAsia="Calibri" w:hAnsi="Calibri" w:cs="Times New Roman"/>
          <w:sz w:val="22"/>
          <w:szCs w:val="22"/>
        </w:rPr>
        <w:tab/>
        <w:t>: Non classé</w:t>
      </w:r>
    </w:p>
    <w:p w14:paraId="54AF5F88" w14:textId="77777777" w:rsidR="00B35533" w:rsidRPr="002B6D91" w:rsidRDefault="00B35533"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77AEFC43"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F4FCE">
        <w:t xml:space="preserve">Nocif </w:t>
      </w:r>
      <w:r>
        <w:t>pour</w:t>
      </w:r>
      <w:r w:rsidRPr="008C3D73">
        <w:t xml:space="preserve"> </w:t>
      </w:r>
      <w:r>
        <w:t>les</w:t>
      </w:r>
      <w:r w:rsidRPr="008C3D73">
        <w:t xml:space="preserve"> </w:t>
      </w:r>
      <w:r>
        <w:t>organismes</w:t>
      </w:r>
      <w:r w:rsidRPr="008C3D73">
        <w:t xml:space="preserve"> </w:t>
      </w:r>
      <w:r>
        <w:t>aquatiques,</w:t>
      </w:r>
      <w:r w:rsidRPr="008C3D73">
        <w:t xml:space="preserve"> </w:t>
      </w:r>
      <w:r>
        <w:t>entraîne</w:t>
      </w:r>
      <w:r w:rsidRPr="008C3D73">
        <w:t xml:space="preserve"> </w:t>
      </w:r>
      <w:r>
        <w:t>des</w:t>
      </w:r>
      <w:r w:rsidRPr="008C3D73">
        <w:t xml:space="preserve"> </w:t>
      </w:r>
      <w:r>
        <w:t>effets</w:t>
      </w:r>
      <w:r w:rsidRPr="008C3D73">
        <w:t xml:space="preserve"> </w:t>
      </w:r>
      <w:r>
        <w:t>néfastes</w:t>
      </w:r>
      <w:r w:rsidRPr="008C3D73">
        <w:t xml:space="preserve"> </w:t>
      </w:r>
      <w:r>
        <w:t>à</w:t>
      </w:r>
      <w:r w:rsidRPr="008C3D73">
        <w:t xml:space="preserve"> </w:t>
      </w:r>
      <w:r>
        <w:t>long</w:t>
      </w:r>
      <w:r w:rsidRPr="008C3D73">
        <w:t xml:space="preserve"> </w:t>
      </w:r>
      <w:r>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70AB76BF"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F4FCE">
        <w:t>Nocif</w:t>
      </w:r>
      <w:r w:rsidR="000643EE">
        <w:rPr>
          <w:spacing w:val="-4"/>
        </w:rPr>
        <w:t xml:space="preserve"> </w:t>
      </w:r>
      <w:r w:rsidR="000643EE">
        <w:t>pour</w:t>
      </w:r>
      <w:r w:rsidR="000643EE">
        <w:rPr>
          <w:spacing w:val="-4"/>
        </w:rPr>
        <w:t xml:space="preserve"> </w:t>
      </w:r>
      <w:r w:rsidR="000643EE">
        <w:t>les</w:t>
      </w:r>
      <w:r w:rsidR="000643EE">
        <w:rPr>
          <w:spacing w:val="-3"/>
        </w:rPr>
        <w:t xml:space="preserve"> </w:t>
      </w:r>
      <w:r w:rsidR="000643EE">
        <w:t>organismes</w:t>
      </w:r>
      <w:r w:rsidR="000643EE">
        <w:rPr>
          <w:spacing w:val="-4"/>
        </w:rPr>
        <w:t xml:space="preserve"> </w:t>
      </w:r>
      <w:r w:rsidR="000643EE">
        <w:t>aquatiques,</w:t>
      </w:r>
      <w:r w:rsidR="000643EE">
        <w:rPr>
          <w:spacing w:val="-3"/>
        </w:rPr>
        <w:t xml:space="preserve"> </w:t>
      </w:r>
      <w:r w:rsidR="000643EE">
        <w:t>entraîne</w:t>
      </w:r>
      <w:r w:rsidR="000643EE">
        <w:rPr>
          <w:spacing w:val="-4"/>
        </w:rPr>
        <w:t xml:space="preserve"> </w:t>
      </w:r>
      <w:r w:rsidR="000643EE">
        <w:t>des</w:t>
      </w:r>
      <w:r w:rsidR="000643EE">
        <w:rPr>
          <w:spacing w:val="-3"/>
        </w:rPr>
        <w:t xml:space="preserve"> </w:t>
      </w:r>
      <w:r w:rsidR="000643EE">
        <w:t>effets</w:t>
      </w:r>
      <w:r w:rsidR="000643EE">
        <w:rPr>
          <w:spacing w:val="-4"/>
        </w:rPr>
        <w:t xml:space="preserve"> </w:t>
      </w:r>
      <w:r w:rsidR="000643EE">
        <w:t>néfastes</w:t>
      </w:r>
      <w:r w:rsidR="000643EE">
        <w:rPr>
          <w:spacing w:val="-3"/>
        </w:rPr>
        <w:t xml:space="preserve"> </w:t>
      </w:r>
      <w:r w:rsidR="000643EE">
        <w:t>à</w:t>
      </w:r>
      <w:r w:rsidR="000643EE">
        <w:rPr>
          <w:spacing w:val="-4"/>
        </w:rPr>
        <w:t xml:space="preserve"> </w:t>
      </w:r>
      <w:r w:rsidR="000643EE">
        <w:t>long</w:t>
      </w:r>
      <w:r w:rsidR="000643EE">
        <w:rPr>
          <w:spacing w:val="-3"/>
        </w:rPr>
        <w:t xml:space="preserve"> </w:t>
      </w:r>
      <w:r w:rsidR="000643EE">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54E05" w14:paraId="5B4FF1FB" w14:textId="77777777" w:rsidTr="006E318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A88ED3" w14:textId="77777777" w:rsidR="00754E05" w:rsidRDefault="00754E05" w:rsidP="00F84E51">
            <w:pPr>
              <w:spacing w:line="259" w:lineRule="auto"/>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537C1C21" w14:textId="77777777" w:rsidR="00754E05" w:rsidRDefault="00754E05" w:rsidP="00F84E51">
            <w:pPr>
              <w:spacing w:after="160" w:line="259" w:lineRule="auto"/>
            </w:pPr>
          </w:p>
        </w:tc>
      </w:tr>
      <w:tr w:rsidR="00754E05" w14:paraId="4AD642ED" w14:textId="77777777" w:rsidTr="006E3187">
        <w:trPr>
          <w:trHeight w:val="407"/>
        </w:trPr>
        <w:tc>
          <w:tcPr>
            <w:tcW w:w="3969" w:type="dxa"/>
            <w:tcBorders>
              <w:top w:val="single" w:sz="4" w:space="0" w:color="0070C0"/>
              <w:left w:val="single" w:sz="4" w:space="0" w:color="0070C0"/>
              <w:bottom w:val="double" w:sz="4" w:space="0" w:color="0070C0"/>
              <w:right w:val="single" w:sz="4" w:space="0" w:color="0070C0"/>
            </w:tcBorders>
          </w:tcPr>
          <w:p w14:paraId="25031BC7" w14:textId="77777777" w:rsidR="00754E05" w:rsidRDefault="00754E05" w:rsidP="00F84E51">
            <w:pPr>
              <w:spacing w:line="259" w:lineRule="auto"/>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034D62DC" w14:textId="77777777" w:rsidR="00754E05" w:rsidRDefault="00754E05" w:rsidP="00F84E51">
            <w:pPr>
              <w:spacing w:line="259" w:lineRule="auto"/>
              <w:ind w:left="1"/>
            </w:pPr>
            <w:r>
              <w:t xml:space="preserve">Non rapidement dégradable </w:t>
            </w:r>
          </w:p>
        </w:tc>
      </w:tr>
      <w:tr w:rsidR="006E3187" w14:paraId="666BBE63" w14:textId="77777777" w:rsidTr="006E3187">
        <w:tblPrEx>
          <w:tblCellMar>
            <w:top w:w="0" w:type="dxa"/>
            <w:left w:w="0" w:type="dxa"/>
            <w:right w:w="0" w:type="dxa"/>
          </w:tblCellMar>
        </w:tblPrEx>
        <w:trPr>
          <w:trHeight w:val="326"/>
        </w:trPr>
        <w:tc>
          <w:tcPr>
            <w:tcW w:w="3969" w:type="dxa"/>
          </w:tcPr>
          <w:p w14:paraId="78A16BC1" w14:textId="77777777" w:rsidR="006E3187" w:rsidRDefault="006E3187" w:rsidP="00F84E51">
            <w:pPr>
              <w:spacing w:line="259" w:lineRule="auto"/>
            </w:pPr>
            <w:proofErr w:type="spellStart"/>
            <w:r>
              <w:rPr>
                <w:b/>
                <w:color w:val="0070C0"/>
                <w:sz w:val="18"/>
              </w:rPr>
              <w:t>Hexyl</w:t>
            </w:r>
            <w:proofErr w:type="spellEnd"/>
            <w:r>
              <w:rPr>
                <w:b/>
                <w:color w:val="0070C0"/>
                <w:sz w:val="18"/>
              </w:rPr>
              <w:t xml:space="preserve"> benzoate (6789-88-4) </w:t>
            </w:r>
          </w:p>
        </w:tc>
        <w:tc>
          <w:tcPr>
            <w:tcW w:w="6520" w:type="dxa"/>
          </w:tcPr>
          <w:p w14:paraId="63AFB2D0" w14:textId="77777777" w:rsidR="006E3187" w:rsidRDefault="006E3187" w:rsidP="00F84E51">
            <w:pPr>
              <w:spacing w:after="160" w:line="259" w:lineRule="auto"/>
            </w:pPr>
          </w:p>
        </w:tc>
      </w:tr>
      <w:tr w:rsidR="006E3187" w14:paraId="70D3C92A" w14:textId="77777777" w:rsidTr="006E3187">
        <w:tblPrEx>
          <w:tblCellMar>
            <w:top w:w="0" w:type="dxa"/>
            <w:left w:w="0" w:type="dxa"/>
            <w:right w:w="0" w:type="dxa"/>
          </w:tblCellMar>
        </w:tblPrEx>
        <w:trPr>
          <w:trHeight w:val="368"/>
        </w:trPr>
        <w:tc>
          <w:tcPr>
            <w:tcW w:w="3969" w:type="dxa"/>
          </w:tcPr>
          <w:p w14:paraId="4E73BA39" w14:textId="77777777" w:rsidR="006E3187" w:rsidRDefault="006E3187" w:rsidP="00F84E51">
            <w:pPr>
              <w:spacing w:line="259" w:lineRule="auto"/>
            </w:pPr>
            <w:r>
              <w:t xml:space="preserve">Persistance et dégradabilité </w:t>
            </w:r>
          </w:p>
        </w:tc>
        <w:tc>
          <w:tcPr>
            <w:tcW w:w="6520" w:type="dxa"/>
          </w:tcPr>
          <w:p w14:paraId="48BC09E1" w14:textId="77777777" w:rsidR="006E3187" w:rsidRDefault="006E3187" w:rsidP="00F84E51">
            <w:pPr>
              <w:spacing w:line="259" w:lineRule="auto"/>
              <w:ind w:left="1"/>
            </w:pPr>
            <w:r>
              <w:t xml:space="preserve">Non rapidement dégradable </w:t>
            </w:r>
          </w:p>
        </w:tc>
      </w:tr>
      <w:tr w:rsidR="007E0A0D" w14:paraId="7F3AA6A8" w14:textId="77777777" w:rsidTr="00F84E5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CF9868" w14:textId="77777777" w:rsidR="007E0A0D" w:rsidRDefault="007E0A0D" w:rsidP="00F84E51">
            <w:pPr>
              <w:spacing w:line="259" w:lineRule="auto"/>
            </w:pPr>
            <w:r>
              <w:rPr>
                <w:b/>
                <w:color w:val="0070C0"/>
                <w:sz w:val="18"/>
              </w:rPr>
              <w:t xml:space="preserve">3,7-Dimethyl-1,6-nonadien-3-ol (10339-55-6) </w:t>
            </w:r>
          </w:p>
        </w:tc>
        <w:tc>
          <w:tcPr>
            <w:tcW w:w="6520" w:type="dxa"/>
            <w:tcBorders>
              <w:top w:val="double" w:sz="4" w:space="0" w:color="0070C0"/>
              <w:left w:val="nil"/>
              <w:bottom w:val="single" w:sz="4" w:space="0" w:color="0070C0"/>
              <w:right w:val="single" w:sz="4" w:space="0" w:color="0070C0"/>
            </w:tcBorders>
            <w:shd w:val="clear" w:color="auto" w:fill="BDD6EE"/>
          </w:tcPr>
          <w:p w14:paraId="0B16A813" w14:textId="77777777" w:rsidR="007E0A0D" w:rsidRDefault="007E0A0D" w:rsidP="00F84E51">
            <w:pPr>
              <w:spacing w:after="160" w:line="259" w:lineRule="auto"/>
            </w:pPr>
          </w:p>
        </w:tc>
      </w:tr>
      <w:tr w:rsidR="007E0A0D" w14:paraId="12F31AB7" w14:textId="77777777" w:rsidTr="00F84E51">
        <w:trPr>
          <w:trHeight w:val="368"/>
        </w:trPr>
        <w:tc>
          <w:tcPr>
            <w:tcW w:w="3969" w:type="dxa"/>
            <w:tcBorders>
              <w:top w:val="single" w:sz="4" w:space="0" w:color="0070C0"/>
              <w:left w:val="single" w:sz="4" w:space="0" w:color="0070C0"/>
              <w:bottom w:val="single" w:sz="4" w:space="0" w:color="0070C0"/>
              <w:right w:val="single" w:sz="4" w:space="0" w:color="0070C0"/>
            </w:tcBorders>
          </w:tcPr>
          <w:p w14:paraId="08187F5C" w14:textId="77777777" w:rsidR="007E0A0D" w:rsidRDefault="007E0A0D" w:rsidP="00F84E51">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2EDA9782" w14:textId="77777777" w:rsidR="007E0A0D" w:rsidRDefault="007E0A0D" w:rsidP="00F84E51">
            <w:pPr>
              <w:spacing w:line="259" w:lineRule="auto"/>
              <w:ind w:left="1"/>
            </w:pPr>
            <w:r>
              <w:t xml:space="preserve">Non rapidement dégradable </w:t>
            </w:r>
          </w:p>
        </w:tc>
      </w:tr>
    </w:tbl>
    <w:p w14:paraId="135492B5" w14:textId="77777777" w:rsidR="007E0A0D" w:rsidRDefault="007E0A0D" w:rsidP="007E0A0D">
      <w:pPr>
        <w:spacing w:after="5" w:line="259" w:lineRule="auto"/>
      </w:pPr>
      <w:r>
        <w:rPr>
          <w:sz w:val="2"/>
        </w:rPr>
        <w:t xml:space="preserve"> </w:t>
      </w: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7E0A0D" w14:paraId="32C59F6A" w14:textId="77777777" w:rsidTr="00F84E51">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8CF462" w14:textId="77777777" w:rsidR="007E0A0D" w:rsidRDefault="007E0A0D" w:rsidP="00F84E51">
            <w:pPr>
              <w:spacing w:line="259" w:lineRule="auto"/>
            </w:pPr>
            <w:r>
              <w:rPr>
                <w:b/>
                <w:color w:val="0070C0"/>
                <w:sz w:val="18"/>
              </w:rPr>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70882A24" w14:textId="77777777" w:rsidR="007E0A0D" w:rsidRDefault="007E0A0D" w:rsidP="00F84E51">
            <w:pPr>
              <w:spacing w:after="160" w:line="259" w:lineRule="auto"/>
            </w:pPr>
          </w:p>
        </w:tc>
      </w:tr>
      <w:tr w:rsidR="007E0A0D" w14:paraId="0151AE80" w14:textId="77777777" w:rsidTr="00F84E51">
        <w:trPr>
          <w:trHeight w:val="407"/>
        </w:trPr>
        <w:tc>
          <w:tcPr>
            <w:tcW w:w="3969" w:type="dxa"/>
            <w:tcBorders>
              <w:top w:val="single" w:sz="4" w:space="0" w:color="0070C0"/>
              <w:left w:val="single" w:sz="4" w:space="0" w:color="0070C0"/>
              <w:bottom w:val="double" w:sz="4" w:space="0" w:color="0070C0"/>
              <w:right w:val="single" w:sz="4" w:space="0" w:color="0070C0"/>
            </w:tcBorders>
          </w:tcPr>
          <w:p w14:paraId="6281748E" w14:textId="77777777" w:rsidR="007E0A0D" w:rsidRDefault="007E0A0D" w:rsidP="00F84E51">
            <w:pPr>
              <w:spacing w:line="259" w:lineRule="auto"/>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1B615DA1" w14:textId="77777777" w:rsidR="007E0A0D" w:rsidRDefault="007E0A0D" w:rsidP="00F84E51">
            <w:pPr>
              <w:spacing w:line="259" w:lineRule="auto"/>
              <w:ind w:left="1"/>
            </w:pPr>
            <w:r>
              <w:t xml:space="preserve">Non rapidement dégradable </w:t>
            </w:r>
          </w:p>
        </w:tc>
      </w:tr>
      <w:tr w:rsidR="007E0A0D" w14:paraId="16BC9F57" w14:textId="77777777" w:rsidTr="00F84E51">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A02324" w14:textId="77777777" w:rsidR="007E0A0D" w:rsidRDefault="007E0A0D" w:rsidP="00F84E51">
            <w:pPr>
              <w:spacing w:line="259" w:lineRule="auto"/>
            </w:pPr>
            <w:r>
              <w:rPr>
                <w:b/>
                <w:color w:val="0070C0"/>
                <w:sz w:val="18"/>
              </w:rPr>
              <w:lastRenderedPageBreak/>
              <w:t xml:space="preserve">Salicylate de benzyle (118-58-1) </w:t>
            </w:r>
          </w:p>
        </w:tc>
        <w:tc>
          <w:tcPr>
            <w:tcW w:w="6520" w:type="dxa"/>
            <w:tcBorders>
              <w:top w:val="double" w:sz="4" w:space="0" w:color="0070C0"/>
              <w:left w:val="nil"/>
              <w:bottom w:val="single" w:sz="4" w:space="0" w:color="0070C0"/>
              <w:right w:val="single" w:sz="4" w:space="0" w:color="0070C0"/>
            </w:tcBorders>
            <w:shd w:val="clear" w:color="auto" w:fill="BDD6EE"/>
          </w:tcPr>
          <w:p w14:paraId="5B70F039" w14:textId="77777777" w:rsidR="007E0A0D" w:rsidRDefault="007E0A0D" w:rsidP="00F84E51">
            <w:pPr>
              <w:spacing w:after="160" w:line="259" w:lineRule="auto"/>
            </w:pPr>
          </w:p>
        </w:tc>
      </w:tr>
      <w:tr w:rsidR="007E0A0D" w14:paraId="763A9F88" w14:textId="77777777" w:rsidTr="00F84E51">
        <w:trPr>
          <w:trHeight w:val="368"/>
        </w:trPr>
        <w:tc>
          <w:tcPr>
            <w:tcW w:w="3969" w:type="dxa"/>
            <w:tcBorders>
              <w:top w:val="single" w:sz="4" w:space="0" w:color="0070C0"/>
              <w:left w:val="single" w:sz="4" w:space="0" w:color="0070C0"/>
              <w:bottom w:val="single" w:sz="4" w:space="0" w:color="0070C0"/>
              <w:right w:val="single" w:sz="4" w:space="0" w:color="0070C0"/>
            </w:tcBorders>
          </w:tcPr>
          <w:p w14:paraId="5D397DE8" w14:textId="77777777" w:rsidR="007E0A0D" w:rsidRDefault="007E0A0D" w:rsidP="00F84E51">
            <w:pPr>
              <w:spacing w:line="259" w:lineRule="auto"/>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01A01B0E" w14:textId="77777777" w:rsidR="007E0A0D" w:rsidRDefault="007E0A0D" w:rsidP="00F84E51">
            <w:pPr>
              <w:spacing w:line="259" w:lineRule="auto"/>
              <w:ind w:left="1"/>
            </w:pPr>
            <w:r>
              <w:t xml:space="preserve">Non rapidement dégradable </w:t>
            </w:r>
          </w:p>
        </w:tc>
      </w:tr>
    </w:tbl>
    <w:p w14:paraId="49475A9F" w14:textId="4A4E4D5C" w:rsidR="004F724F" w:rsidRDefault="004F724F" w:rsidP="004F724F">
      <w:pPr>
        <w:spacing w:after="5" w:line="259" w:lineRule="auto"/>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tbl>
      <w:tblPr>
        <w:tblStyle w:val="TableGrid"/>
        <w:tblpPr w:vertAnchor="page" w:horzAnchor="margin" w:tblpY="3181"/>
        <w:tblOverlap w:val="never"/>
        <w:tblW w:w="10579" w:type="dxa"/>
        <w:tblInd w:w="0" w:type="dxa"/>
        <w:tblCellMar>
          <w:top w:w="45" w:type="dxa"/>
          <w:left w:w="56" w:type="dxa"/>
          <w:right w:w="115" w:type="dxa"/>
        </w:tblCellMar>
        <w:tblLook w:val="04A0" w:firstRow="1" w:lastRow="0" w:firstColumn="1" w:lastColumn="0" w:noHBand="0" w:noVBand="1"/>
      </w:tblPr>
      <w:tblGrid>
        <w:gridCol w:w="4059"/>
        <w:gridCol w:w="6520"/>
      </w:tblGrid>
      <w:tr w:rsidR="004F520D" w14:paraId="410EA2FA" w14:textId="77777777" w:rsidTr="004F520D">
        <w:trPr>
          <w:trHeight w:val="326"/>
        </w:trPr>
        <w:tc>
          <w:tcPr>
            <w:tcW w:w="4059" w:type="dxa"/>
            <w:tcBorders>
              <w:top w:val="single" w:sz="4" w:space="0" w:color="0070C0"/>
              <w:left w:val="single" w:sz="4" w:space="0" w:color="0070C0"/>
              <w:bottom w:val="single" w:sz="4" w:space="0" w:color="0070C0"/>
              <w:right w:val="nil"/>
            </w:tcBorders>
            <w:shd w:val="clear" w:color="auto" w:fill="BDD6EE"/>
          </w:tcPr>
          <w:p w14:paraId="654E21B5" w14:textId="77777777" w:rsidR="004F520D" w:rsidRDefault="004F520D" w:rsidP="004F520D">
            <w:pPr>
              <w:spacing w:line="259" w:lineRule="auto"/>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01700223" w14:textId="77777777" w:rsidR="004F520D" w:rsidRDefault="004F520D" w:rsidP="004F520D">
            <w:pPr>
              <w:spacing w:after="160" w:line="259" w:lineRule="auto"/>
            </w:pPr>
          </w:p>
        </w:tc>
      </w:tr>
      <w:tr w:rsidR="004F520D" w14:paraId="366D23D5" w14:textId="77777777" w:rsidTr="004F520D">
        <w:trPr>
          <w:trHeight w:val="368"/>
        </w:trPr>
        <w:tc>
          <w:tcPr>
            <w:tcW w:w="4059" w:type="dxa"/>
            <w:tcBorders>
              <w:top w:val="single" w:sz="4" w:space="0" w:color="0070C0"/>
              <w:left w:val="single" w:sz="4" w:space="0" w:color="0070C0"/>
              <w:bottom w:val="single" w:sz="4" w:space="0" w:color="0070C0"/>
              <w:right w:val="single" w:sz="4" w:space="0" w:color="0070C0"/>
            </w:tcBorders>
          </w:tcPr>
          <w:p w14:paraId="698F1561" w14:textId="77777777" w:rsidR="004F520D" w:rsidRDefault="004F520D" w:rsidP="004F520D">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1341743" w14:textId="77777777" w:rsidR="004F520D" w:rsidRDefault="004F520D" w:rsidP="004F520D">
            <w:pPr>
              <w:spacing w:line="259" w:lineRule="auto"/>
              <w:ind w:left="1"/>
            </w:pPr>
            <w:r>
              <w:t xml:space="preserve">3,04 Source: </w:t>
            </w:r>
            <w:proofErr w:type="spellStart"/>
            <w:r>
              <w:t>ChemIDplus</w:t>
            </w:r>
            <w:proofErr w:type="spellEnd"/>
            <w:r>
              <w:t xml:space="preserve"> </w:t>
            </w:r>
          </w:p>
        </w:tc>
      </w:tr>
    </w:tbl>
    <w:p w14:paraId="5FFF4D71" w14:textId="77777777" w:rsidR="00967229" w:rsidRDefault="00967229" w:rsidP="00967229">
      <w:pPr>
        <w:pStyle w:val="Corpsdetexte"/>
        <w:spacing w:before="6"/>
        <w:rPr>
          <w:sz w:val="17"/>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F412EB" w14:paraId="3251ED98" w14:textId="77777777" w:rsidTr="00F01FCB">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FB8CF08" w14:textId="77777777" w:rsidR="00F412EB" w:rsidRDefault="00F412EB" w:rsidP="00F84E51">
            <w:pPr>
              <w:spacing w:line="259" w:lineRule="auto"/>
            </w:pPr>
            <w:r>
              <w:rPr>
                <w:b/>
                <w:color w:val="0070C0"/>
                <w:sz w:val="18"/>
              </w:rPr>
              <w:t xml:space="preserve">2-methoxy-4-prop-1-en-2-ylphenol (97-54-1) </w:t>
            </w:r>
          </w:p>
        </w:tc>
        <w:tc>
          <w:tcPr>
            <w:tcW w:w="6520" w:type="dxa"/>
            <w:tcBorders>
              <w:top w:val="single" w:sz="4" w:space="0" w:color="0070C0"/>
              <w:left w:val="nil"/>
              <w:bottom w:val="single" w:sz="4" w:space="0" w:color="0070C0"/>
              <w:right w:val="single" w:sz="4" w:space="0" w:color="0070C0"/>
            </w:tcBorders>
            <w:shd w:val="clear" w:color="auto" w:fill="BDD6EE"/>
          </w:tcPr>
          <w:p w14:paraId="6FEB5612" w14:textId="77777777" w:rsidR="00F412EB" w:rsidRDefault="00F412EB" w:rsidP="00F84E51">
            <w:pPr>
              <w:spacing w:after="160" w:line="259" w:lineRule="auto"/>
            </w:pPr>
          </w:p>
        </w:tc>
      </w:tr>
      <w:tr w:rsidR="00F412EB" w14:paraId="0E36A0B0" w14:textId="77777777" w:rsidTr="00F01FCB">
        <w:trPr>
          <w:trHeight w:val="407"/>
        </w:trPr>
        <w:tc>
          <w:tcPr>
            <w:tcW w:w="3969" w:type="dxa"/>
            <w:tcBorders>
              <w:top w:val="single" w:sz="4" w:space="0" w:color="0070C0"/>
              <w:left w:val="single" w:sz="4" w:space="0" w:color="0070C0"/>
              <w:bottom w:val="double" w:sz="4" w:space="0" w:color="0070C0"/>
              <w:right w:val="single" w:sz="4" w:space="0" w:color="0070C0"/>
            </w:tcBorders>
          </w:tcPr>
          <w:p w14:paraId="0C14C035" w14:textId="77777777" w:rsidR="00F412EB" w:rsidRDefault="00F412EB" w:rsidP="00F84E51">
            <w:pPr>
              <w:spacing w:line="259" w:lineRule="auto"/>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131E5885" w14:textId="77777777" w:rsidR="00F412EB" w:rsidRDefault="00F412EB" w:rsidP="00F84E51">
            <w:pPr>
              <w:spacing w:line="259" w:lineRule="auto"/>
              <w:ind w:left="1"/>
            </w:pPr>
            <w:r>
              <w:t xml:space="preserve">3,04 Source: </w:t>
            </w:r>
            <w:proofErr w:type="spellStart"/>
            <w:r>
              <w:t>ChemIDplus</w:t>
            </w:r>
            <w:proofErr w:type="spellEnd"/>
            <w:r>
              <w:t xml:space="preserve"> </w:t>
            </w:r>
          </w:p>
        </w:tc>
      </w:tr>
      <w:tr w:rsidR="00824897" w14:paraId="76EE8128" w14:textId="77777777" w:rsidTr="00F01FCB">
        <w:tblPrEx>
          <w:tblCellMar>
            <w:top w:w="0" w:type="dxa"/>
            <w:left w:w="0" w:type="dxa"/>
            <w:right w:w="0" w:type="dxa"/>
          </w:tblCellMar>
        </w:tblPrEx>
        <w:trPr>
          <w:trHeight w:val="326"/>
        </w:trPr>
        <w:tc>
          <w:tcPr>
            <w:tcW w:w="3969" w:type="dxa"/>
          </w:tcPr>
          <w:p w14:paraId="70468298" w14:textId="77777777" w:rsidR="00824897" w:rsidRDefault="00824897" w:rsidP="00F84E51">
            <w:pPr>
              <w:spacing w:line="259" w:lineRule="auto"/>
            </w:pPr>
            <w:proofErr w:type="spellStart"/>
            <w:r>
              <w:rPr>
                <w:b/>
                <w:color w:val="0070C0"/>
                <w:sz w:val="18"/>
              </w:rPr>
              <w:t>Hexyl</w:t>
            </w:r>
            <w:proofErr w:type="spellEnd"/>
            <w:r>
              <w:rPr>
                <w:b/>
                <w:color w:val="0070C0"/>
                <w:sz w:val="18"/>
              </w:rPr>
              <w:t xml:space="preserve"> benzoate (6789-88-4) </w:t>
            </w:r>
          </w:p>
        </w:tc>
        <w:tc>
          <w:tcPr>
            <w:tcW w:w="6520" w:type="dxa"/>
          </w:tcPr>
          <w:p w14:paraId="5C0CED0A" w14:textId="77777777" w:rsidR="00824897" w:rsidRDefault="00824897" w:rsidP="00F84E51">
            <w:pPr>
              <w:spacing w:after="160" w:line="259" w:lineRule="auto"/>
            </w:pPr>
          </w:p>
        </w:tc>
      </w:tr>
      <w:tr w:rsidR="00824897" w:rsidRPr="004C7FBB" w14:paraId="7E722772" w14:textId="77777777" w:rsidTr="00F01FCB">
        <w:tblPrEx>
          <w:tblCellMar>
            <w:top w:w="0" w:type="dxa"/>
            <w:left w:w="0" w:type="dxa"/>
            <w:right w:w="0" w:type="dxa"/>
          </w:tblCellMar>
        </w:tblPrEx>
        <w:trPr>
          <w:trHeight w:val="408"/>
        </w:trPr>
        <w:tc>
          <w:tcPr>
            <w:tcW w:w="3969" w:type="dxa"/>
          </w:tcPr>
          <w:p w14:paraId="36DDC448" w14:textId="77777777" w:rsidR="00824897" w:rsidRDefault="00824897" w:rsidP="00F84E51">
            <w:pPr>
              <w:spacing w:line="259" w:lineRule="auto"/>
            </w:pPr>
            <w:r>
              <w:t xml:space="preserve">Coefficient de partage n-octanol/eau (Log </w:t>
            </w:r>
            <w:proofErr w:type="spellStart"/>
            <w:r>
              <w:t>Pow</w:t>
            </w:r>
            <w:proofErr w:type="spellEnd"/>
            <w:r>
              <w:t xml:space="preserve">) </w:t>
            </w:r>
          </w:p>
        </w:tc>
        <w:tc>
          <w:tcPr>
            <w:tcW w:w="6520" w:type="dxa"/>
          </w:tcPr>
          <w:p w14:paraId="74BFD598" w14:textId="77777777" w:rsidR="00824897" w:rsidRPr="004C7FBB" w:rsidRDefault="00824897" w:rsidP="00F84E51">
            <w:pPr>
              <w:spacing w:line="259" w:lineRule="auto"/>
              <w:ind w:left="1"/>
              <w:rPr>
                <w:lang w:val="en-US"/>
              </w:rPr>
            </w:pPr>
            <w:r w:rsidRPr="004C7FBB">
              <w:rPr>
                <w:lang w:val="en-US"/>
              </w:rPr>
              <w:t xml:space="preserve">4,28 Source: National Library of Medicine </w:t>
            </w:r>
          </w:p>
        </w:tc>
      </w:tr>
      <w:tr w:rsidR="00E52CB4" w14:paraId="25702A9D" w14:textId="77777777" w:rsidTr="00F01FCB">
        <w:tblPrEx>
          <w:tblCellMar>
            <w:top w:w="0" w:type="dxa"/>
            <w:left w:w="0" w:type="dxa"/>
            <w:right w:w="0" w:type="dxa"/>
          </w:tblCellMar>
        </w:tblPrEx>
        <w:trPr>
          <w:trHeight w:val="326"/>
        </w:trPr>
        <w:tc>
          <w:tcPr>
            <w:tcW w:w="3969" w:type="dxa"/>
          </w:tcPr>
          <w:p w14:paraId="42B8293D" w14:textId="77777777" w:rsidR="00E52CB4" w:rsidRDefault="00E52CB4" w:rsidP="00F84E51">
            <w:pPr>
              <w:spacing w:line="259" w:lineRule="auto"/>
            </w:pPr>
            <w:r>
              <w:rPr>
                <w:b/>
                <w:color w:val="0070C0"/>
                <w:sz w:val="18"/>
              </w:rPr>
              <w:t xml:space="preserve">3,7-Dimethyl-1,6-nonadien-3-ol (10339-55-6) </w:t>
            </w:r>
          </w:p>
        </w:tc>
        <w:tc>
          <w:tcPr>
            <w:tcW w:w="6520" w:type="dxa"/>
          </w:tcPr>
          <w:p w14:paraId="2E12E1E0" w14:textId="77777777" w:rsidR="00E52CB4" w:rsidRDefault="00E52CB4" w:rsidP="00F84E51">
            <w:pPr>
              <w:spacing w:after="160" w:line="259" w:lineRule="auto"/>
            </w:pPr>
          </w:p>
        </w:tc>
      </w:tr>
      <w:tr w:rsidR="00E52CB4" w14:paraId="53A80329" w14:textId="77777777" w:rsidTr="00F01FCB">
        <w:tblPrEx>
          <w:tblCellMar>
            <w:top w:w="0" w:type="dxa"/>
            <w:left w:w="0" w:type="dxa"/>
            <w:right w:w="0" w:type="dxa"/>
          </w:tblCellMar>
        </w:tblPrEx>
        <w:trPr>
          <w:trHeight w:val="368"/>
        </w:trPr>
        <w:tc>
          <w:tcPr>
            <w:tcW w:w="3969" w:type="dxa"/>
          </w:tcPr>
          <w:p w14:paraId="5B1F9383" w14:textId="77777777" w:rsidR="00E52CB4" w:rsidRDefault="00E52CB4" w:rsidP="00F84E51">
            <w:pPr>
              <w:spacing w:line="259" w:lineRule="auto"/>
            </w:pPr>
            <w:r>
              <w:t xml:space="preserve">Coefficient de partage n-octanol/eau (Log </w:t>
            </w:r>
            <w:proofErr w:type="spellStart"/>
            <w:r>
              <w:t>Pow</w:t>
            </w:r>
            <w:proofErr w:type="spellEnd"/>
            <w:r>
              <w:t xml:space="preserve">) </w:t>
            </w:r>
          </w:p>
        </w:tc>
        <w:tc>
          <w:tcPr>
            <w:tcW w:w="6520" w:type="dxa"/>
          </w:tcPr>
          <w:p w14:paraId="656AF78F" w14:textId="77777777" w:rsidR="00E52CB4" w:rsidRDefault="00E52CB4" w:rsidP="00F84E51">
            <w:pPr>
              <w:spacing w:line="259" w:lineRule="auto"/>
              <w:ind w:left="1"/>
            </w:pPr>
            <w:r>
              <w:t xml:space="preserve">3,3 Source: ECHA </w:t>
            </w:r>
          </w:p>
        </w:tc>
      </w:tr>
      <w:tr w:rsidR="00F01FCB" w14:paraId="356835E9" w14:textId="77777777" w:rsidTr="00F01FCB">
        <w:tblPrEx>
          <w:tblCellMar>
            <w:top w:w="0" w:type="dxa"/>
            <w:left w:w="0" w:type="dxa"/>
            <w:right w:w="0" w:type="dxa"/>
          </w:tblCellMar>
        </w:tblPrEx>
        <w:trPr>
          <w:trHeight w:val="326"/>
        </w:trPr>
        <w:tc>
          <w:tcPr>
            <w:tcW w:w="3969" w:type="dxa"/>
          </w:tcPr>
          <w:p w14:paraId="1A34329B" w14:textId="77777777" w:rsidR="00F01FCB" w:rsidRDefault="00F01FCB" w:rsidP="00F84E51">
            <w:pPr>
              <w:spacing w:line="259" w:lineRule="auto"/>
            </w:pPr>
            <w:r>
              <w:rPr>
                <w:b/>
                <w:color w:val="0070C0"/>
                <w:sz w:val="18"/>
              </w:rPr>
              <w:t xml:space="preserve">3,7-Dimethyl octa-1,6-diene-3-ol (78-70-6) </w:t>
            </w:r>
          </w:p>
        </w:tc>
        <w:tc>
          <w:tcPr>
            <w:tcW w:w="6520" w:type="dxa"/>
          </w:tcPr>
          <w:p w14:paraId="5F8611DD" w14:textId="77777777" w:rsidR="00F01FCB" w:rsidRDefault="00F01FCB" w:rsidP="00F84E51">
            <w:pPr>
              <w:spacing w:after="160" w:line="259" w:lineRule="auto"/>
            </w:pPr>
          </w:p>
        </w:tc>
      </w:tr>
      <w:tr w:rsidR="00F01FCB" w:rsidRPr="004C7FBB" w14:paraId="3A5D22B8" w14:textId="77777777" w:rsidTr="00F01FCB">
        <w:tblPrEx>
          <w:tblCellMar>
            <w:top w:w="0" w:type="dxa"/>
            <w:left w:w="0" w:type="dxa"/>
            <w:right w:w="0" w:type="dxa"/>
          </w:tblCellMar>
        </w:tblPrEx>
        <w:trPr>
          <w:trHeight w:val="407"/>
        </w:trPr>
        <w:tc>
          <w:tcPr>
            <w:tcW w:w="3969" w:type="dxa"/>
          </w:tcPr>
          <w:p w14:paraId="79E8F153" w14:textId="77777777" w:rsidR="00F01FCB" w:rsidRDefault="00F01FCB" w:rsidP="00F84E51">
            <w:pPr>
              <w:spacing w:line="259" w:lineRule="auto"/>
            </w:pPr>
            <w:r>
              <w:t xml:space="preserve">Coefficient de partage n-octanol/eau (Log </w:t>
            </w:r>
            <w:proofErr w:type="spellStart"/>
            <w:r>
              <w:t>Pow</w:t>
            </w:r>
            <w:proofErr w:type="spellEnd"/>
            <w:r>
              <w:t xml:space="preserve">) </w:t>
            </w:r>
          </w:p>
        </w:tc>
        <w:tc>
          <w:tcPr>
            <w:tcW w:w="6520" w:type="dxa"/>
          </w:tcPr>
          <w:p w14:paraId="787EFA81" w14:textId="77777777" w:rsidR="00F01FCB" w:rsidRPr="004C7FBB" w:rsidRDefault="00F01FCB" w:rsidP="00F84E51">
            <w:pPr>
              <w:spacing w:line="259" w:lineRule="auto"/>
              <w:ind w:left="1"/>
              <w:rPr>
                <w:lang w:val="en-US"/>
              </w:rPr>
            </w:pPr>
            <w:r w:rsidRPr="004C7FBB">
              <w:rPr>
                <w:lang w:val="en-US"/>
              </w:rPr>
              <w:t xml:space="preserve">2,97 Source: International Chemical Safety Cards </w:t>
            </w:r>
          </w:p>
        </w:tc>
      </w:tr>
      <w:tr w:rsidR="00F01FCB" w14:paraId="6E83850F" w14:textId="77777777" w:rsidTr="00F01FCB">
        <w:tblPrEx>
          <w:tblCellMar>
            <w:top w:w="0" w:type="dxa"/>
            <w:left w:w="0" w:type="dxa"/>
            <w:right w:w="0" w:type="dxa"/>
          </w:tblCellMar>
        </w:tblPrEx>
        <w:trPr>
          <w:trHeight w:val="344"/>
        </w:trPr>
        <w:tc>
          <w:tcPr>
            <w:tcW w:w="3969" w:type="dxa"/>
          </w:tcPr>
          <w:p w14:paraId="2209D06D" w14:textId="77777777" w:rsidR="00F01FCB" w:rsidRDefault="00F01FCB" w:rsidP="00F84E51">
            <w:pPr>
              <w:spacing w:line="259" w:lineRule="auto"/>
            </w:pPr>
            <w:r>
              <w:rPr>
                <w:b/>
                <w:color w:val="0070C0"/>
                <w:sz w:val="18"/>
              </w:rPr>
              <w:t xml:space="preserve">Salicylate de benzyle (118-58-1) </w:t>
            </w:r>
          </w:p>
        </w:tc>
        <w:tc>
          <w:tcPr>
            <w:tcW w:w="6520" w:type="dxa"/>
          </w:tcPr>
          <w:p w14:paraId="6D8DA86E" w14:textId="77777777" w:rsidR="00F01FCB" w:rsidRDefault="00F01FCB" w:rsidP="00F84E51">
            <w:pPr>
              <w:spacing w:after="160" w:line="259" w:lineRule="auto"/>
            </w:pPr>
          </w:p>
        </w:tc>
      </w:tr>
      <w:tr w:rsidR="00F01FCB" w14:paraId="3A7AAC9E" w14:textId="77777777" w:rsidTr="00F01FCB">
        <w:tblPrEx>
          <w:tblCellMar>
            <w:top w:w="0" w:type="dxa"/>
            <w:left w:w="0" w:type="dxa"/>
            <w:right w:w="0" w:type="dxa"/>
          </w:tblCellMar>
        </w:tblPrEx>
        <w:trPr>
          <w:trHeight w:val="366"/>
        </w:trPr>
        <w:tc>
          <w:tcPr>
            <w:tcW w:w="3969" w:type="dxa"/>
          </w:tcPr>
          <w:p w14:paraId="46948F74" w14:textId="77777777" w:rsidR="00F01FCB" w:rsidRDefault="00F01FCB" w:rsidP="00F84E51">
            <w:pPr>
              <w:spacing w:line="259" w:lineRule="auto"/>
            </w:pPr>
            <w:r>
              <w:t xml:space="preserve">Coefficient de partage n-octanol/eau (Log </w:t>
            </w:r>
            <w:proofErr w:type="spellStart"/>
            <w:r>
              <w:t>Pow</w:t>
            </w:r>
            <w:proofErr w:type="spellEnd"/>
            <w:r>
              <w:t xml:space="preserve">) </w:t>
            </w:r>
          </w:p>
        </w:tc>
        <w:tc>
          <w:tcPr>
            <w:tcW w:w="6520" w:type="dxa"/>
          </w:tcPr>
          <w:p w14:paraId="4C502A7C" w14:textId="77777777" w:rsidR="00F01FCB" w:rsidRDefault="00F01FCB" w:rsidP="00F84E51">
            <w:pPr>
              <w:spacing w:line="259" w:lineRule="auto"/>
              <w:ind w:left="1"/>
            </w:pPr>
            <w:r>
              <w:t xml:space="preserve">4 Source: ECHA Registered substances </w:t>
            </w:r>
          </w:p>
        </w:tc>
      </w:tr>
    </w:tbl>
    <w:p w14:paraId="3A8D8FEF" w14:textId="6D723871" w:rsidR="00D36941" w:rsidRPr="00824897" w:rsidRDefault="00D36941" w:rsidP="00967229">
      <w:pPr>
        <w:pStyle w:val="Corpsdetexte"/>
        <w:spacing w:before="6"/>
        <w:rPr>
          <w:rFonts w:ascii="Calibri" w:eastAsia="Calibri" w:hAnsi="Calibri" w:cs="Times New Roman"/>
          <w:sz w:val="22"/>
          <w:szCs w:val="22"/>
          <w:lang w:val="en-US"/>
        </w:rPr>
      </w:pPr>
    </w:p>
    <w:p w14:paraId="0FD1D377" w14:textId="77777777" w:rsidR="002A2D4C" w:rsidRPr="00824897" w:rsidRDefault="002A2D4C" w:rsidP="00967229">
      <w:pPr>
        <w:pStyle w:val="Corpsdetexte"/>
        <w:spacing w:before="6"/>
        <w:rPr>
          <w:rFonts w:ascii="Calibri" w:eastAsia="Calibri" w:hAnsi="Calibri" w:cs="Times New Roman"/>
          <w:sz w:val="22"/>
          <w:szCs w:val="22"/>
          <w:lang w:val="en-US"/>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B449757" w14:textId="4690D66B" w:rsidR="00767D1D" w:rsidRDefault="00767D1D" w:rsidP="00767D1D">
      <w:pPr>
        <w:spacing w:after="5" w:line="259" w:lineRule="auto"/>
        <w:rPr>
          <w:sz w:val="2"/>
        </w:rPr>
      </w:pPr>
    </w:p>
    <w:p w14:paraId="4765692B" w14:textId="77777777" w:rsidR="00BD1EE5" w:rsidRDefault="00BD1EE5" w:rsidP="00767D1D">
      <w:pPr>
        <w:spacing w:after="5" w:line="259" w:lineRule="auto"/>
        <w:rPr>
          <w:sz w:val="2"/>
        </w:rPr>
      </w:pPr>
    </w:p>
    <w:p w14:paraId="1383C3BD" w14:textId="77777777" w:rsidR="00BD1EE5" w:rsidRDefault="00BD1EE5" w:rsidP="00767D1D">
      <w:pPr>
        <w:spacing w:after="5" w:line="259" w:lineRule="auto"/>
        <w:rPr>
          <w:sz w:val="2"/>
        </w:rPr>
      </w:pPr>
    </w:p>
    <w:p w14:paraId="2850A1FB" w14:textId="77777777" w:rsidR="00BD1EE5" w:rsidRDefault="00BD1EE5" w:rsidP="00767D1D">
      <w:pPr>
        <w:spacing w:after="5" w:line="259" w:lineRule="auto"/>
        <w:rPr>
          <w:sz w:val="2"/>
        </w:rPr>
      </w:pPr>
    </w:p>
    <w:p w14:paraId="449A99FC" w14:textId="77777777" w:rsidR="00BD1EE5" w:rsidRDefault="00BD1EE5" w:rsidP="00767D1D">
      <w:pPr>
        <w:spacing w:after="5" w:line="259" w:lineRule="auto"/>
        <w:rPr>
          <w:sz w:val="2"/>
        </w:rPr>
      </w:pPr>
    </w:p>
    <w:p w14:paraId="273DB079" w14:textId="77777777" w:rsidR="00BD1EE5" w:rsidRDefault="00BD1EE5" w:rsidP="00767D1D">
      <w:pPr>
        <w:spacing w:after="5" w:line="259" w:lineRule="auto"/>
        <w:rPr>
          <w:sz w:val="2"/>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0003B3" w14:paraId="40F793DB" w14:textId="77777777" w:rsidTr="00F84E51">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C1C0AC" w14:textId="77777777" w:rsidR="000003B3" w:rsidRDefault="000003B3" w:rsidP="00F84E51">
            <w:pPr>
              <w:spacing w:line="259" w:lineRule="auto"/>
            </w:pPr>
            <w:proofErr w:type="spellStart"/>
            <w:r>
              <w:rPr>
                <w:b/>
                <w:color w:val="0070C0"/>
                <w:sz w:val="18"/>
              </w:rPr>
              <w:t>Hexyl</w:t>
            </w:r>
            <w:proofErr w:type="spellEnd"/>
            <w:r>
              <w:rPr>
                <w:b/>
                <w:color w:val="0070C0"/>
                <w:sz w:val="18"/>
              </w:rPr>
              <w:t xml:space="preserve"> benzoate (6789-88-4) </w:t>
            </w:r>
          </w:p>
        </w:tc>
        <w:tc>
          <w:tcPr>
            <w:tcW w:w="6520" w:type="dxa"/>
            <w:tcBorders>
              <w:top w:val="single" w:sz="4" w:space="0" w:color="0070C0"/>
              <w:left w:val="nil"/>
              <w:bottom w:val="single" w:sz="4" w:space="0" w:color="0070C0"/>
              <w:right w:val="single" w:sz="4" w:space="0" w:color="0070C0"/>
            </w:tcBorders>
            <w:shd w:val="clear" w:color="auto" w:fill="BDD6EE"/>
          </w:tcPr>
          <w:p w14:paraId="6109686A" w14:textId="77777777" w:rsidR="000003B3" w:rsidRDefault="000003B3" w:rsidP="00F84E51">
            <w:pPr>
              <w:spacing w:after="160" w:line="259" w:lineRule="auto"/>
            </w:pPr>
          </w:p>
        </w:tc>
      </w:tr>
      <w:tr w:rsidR="000003B3" w14:paraId="6678334F" w14:textId="77777777" w:rsidTr="00F84E51">
        <w:trPr>
          <w:trHeight w:val="407"/>
        </w:trPr>
        <w:tc>
          <w:tcPr>
            <w:tcW w:w="3969" w:type="dxa"/>
            <w:tcBorders>
              <w:top w:val="single" w:sz="4" w:space="0" w:color="0070C0"/>
              <w:left w:val="single" w:sz="4" w:space="0" w:color="0070C0"/>
              <w:bottom w:val="double" w:sz="4" w:space="0" w:color="0070C0"/>
              <w:right w:val="single" w:sz="4" w:space="0" w:color="0070C0"/>
            </w:tcBorders>
          </w:tcPr>
          <w:p w14:paraId="74F0213B" w14:textId="77777777" w:rsidR="000003B3" w:rsidRDefault="000003B3" w:rsidP="00F84E51">
            <w:pPr>
              <w:spacing w:line="259" w:lineRule="auto"/>
            </w:pPr>
            <w: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tcPr>
          <w:p w14:paraId="3B37CB1F" w14:textId="77777777" w:rsidR="000003B3" w:rsidRDefault="000003B3" w:rsidP="00F84E51">
            <w:pPr>
              <w:spacing w:line="259" w:lineRule="auto"/>
              <w:ind w:left="1"/>
            </w:pPr>
            <w:r>
              <w:t xml:space="preserve">1655 Source: Quantitative Structure Activity Relation </w:t>
            </w:r>
          </w:p>
        </w:tc>
      </w:tr>
      <w:tr w:rsidR="000003B3" w14:paraId="538BA4E9" w14:textId="77777777" w:rsidTr="00F84E51">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554FBE" w14:textId="77777777" w:rsidR="000003B3" w:rsidRDefault="000003B3" w:rsidP="00F84E51">
            <w:pPr>
              <w:spacing w:line="259" w:lineRule="auto"/>
            </w:pPr>
            <w:r>
              <w:rPr>
                <w:b/>
                <w:color w:val="0070C0"/>
                <w:sz w:val="18"/>
              </w:rPr>
              <w:lastRenderedPageBreak/>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5FE0F108" w14:textId="77777777" w:rsidR="000003B3" w:rsidRDefault="000003B3" w:rsidP="00F84E51">
            <w:pPr>
              <w:spacing w:after="160" w:line="259" w:lineRule="auto"/>
            </w:pPr>
          </w:p>
        </w:tc>
      </w:tr>
      <w:tr w:rsidR="000003B3" w14:paraId="1FDC228C" w14:textId="77777777" w:rsidTr="00F84E51">
        <w:trPr>
          <w:trHeight w:val="366"/>
        </w:trPr>
        <w:tc>
          <w:tcPr>
            <w:tcW w:w="3969" w:type="dxa"/>
            <w:tcBorders>
              <w:top w:val="single" w:sz="4" w:space="0" w:color="0070C0"/>
              <w:left w:val="single" w:sz="4" w:space="0" w:color="0070C0"/>
              <w:bottom w:val="single" w:sz="4" w:space="0" w:color="0070C0"/>
              <w:right w:val="single" w:sz="4" w:space="0" w:color="0070C0"/>
            </w:tcBorders>
          </w:tcPr>
          <w:p w14:paraId="2F4252CA" w14:textId="77777777" w:rsidR="000003B3" w:rsidRDefault="000003B3" w:rsidP="00F84E51">
            <w:pPr>
              <w:spacing w:line="259" w:lineRule="auto"/>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1E6EE88D" w14:textId="77777777" w:rsidR="000003B3" w:rsidRDefault="000003B3" w:rsidP="00F84E51">
            <w:pPr>
              <w:spacing w:line="259" w:lineRule="auto"/>
              <w:ind w:left="1"/>
            </w:pPr>
            <w:r>
              <w:t xml:space="preserve">76 Source: HSDB </w:t>
            </w:r>
          </w:p>
        </w:tc>
      </w:tr>
    </w:tbl>
    <w:p w14:paraId="08F15A6F" w14:textId="77777777" w:rsidR="00F31713" w:rsidRPr="00AC7ACA" w:rsidRDefault="00F31713" w:rsidP="00B84FFD">
      <w:pPr>
        <w:spacing w:before="120" w:after="120" w:line="240" w:lineRule="auto"/>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lastRenderedPageBreak/>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BDEBC" w14:textId="77777777" w:rsidR="002E2092" w:rsidRDefault="002E2092">
      <w:pPr>
        <w:spacing w:after="0" w:line="240" w:lineRule="auto"/>
      </w:pPr>
      <w:r>
        <w:separator/>
      </w:r>
    </w:p>
  </w:endnote>
  <w:endnote w:type="continuationSeparator" w:id="0">
    <w:p w14:paraId="4E147BD5" w14:textId="77777777" w:rsidR="002E2092" w:rsidRDefault="002E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7033" w14:textId="77777777" w:rsidR="002E2092" w:rsidRDefault="002E2092">
      <w:pPr>
        <w:spacing w:after="0" w:line="240" w:lineRule="auto"/>
      </w:pPr>
      <w:r>
        <w:separator/>
      </w:r>
    </w:p>
  </w:footnote>
  <w:footnote w:type="continuationSeparator" w:id="0">
    <w:p w14:paraId="3F2E553B" w14:textId="77777777" w:rsidR="002E2092" w:rsidRDefault="002E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564111CF"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1B1645">
      <w:rPr>
        <w:sz w:val="18"/>
        <w:szCs w:val="18"/>
      </w:rPr>
      <w:t>21/10</w:t>
    </w:r>
    <w:r w:rsidR="00FB7DF1">
      <w:rPr>
        <w:sz w:val="18"/>
        <w:szCs w:val="18"/>
      </w:rPr>
      <w:t>/2024</w:t>
    </w:r>
    <w:r>
      <w:rPr>
        <w:sz w:val="18"/>
        <w:szCs w:val="18"/>
      </w:rPr>
      <w:t xml:space="preserve"> Date de révision : </w:t>
    </w:r>
    <w:r w:rsidR="001B1645">
      <w:rPr>
        <w:sz w:val="18"/>
        <w:szCs w:val="18"/>
      </w:rPr>
      <w:t>21/10</w:t>
    </w:r>
    <w:r w:rsidR="00FB7DF1">
      <w:rPr>
        <w:sz w:val="18"/>
        <w:szCs w:val="18"/>
      </w:rPr>
      <w:t>/2024</w:t>
    </w:r>
    <w:r>
      <w:rPr>
        <w:sz w:val="18"/>
        <w:szCs w:val="18"/>
      </w:rPr>
      <w:t xml:space="preserve"> Version : 1.0</w:t>
    </w:r>
  </w:p>
  <w:p w14:paraId="602D1847" w14:textId="6D1870C3" w:rsidR="00F27584" w:rsidRPr="0002782B" w:rsidRDefault="001B1645" w:rsidP="0002782B">
    <w:pPr>
      <w:jc w:val="center"/>
      <w:rPr>
        <w:b/>
        <w:bCs/>
        <w:sz w:val="32"/>
        <w:szCs w:val="32"/>
      </w:rPr>
    </w:pPr>
    <w:r>
      <w:rPr>
        <w:rFonts w:cs="Arial"/>
        <w:b/>
        <w:sz w:val="32"/>
      </w:rPr>
      <w:t>BLUSH</w:t>
    </w:r>
    <w:r w:rsidR="00F32420">
      <w:rPr>
        <w:rFonts w:cs="Arial"/>
        <w:b/>
        <w:sz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3B3"/>
    <w:rsid w:val="0000088B"/>
    <w:rsid w:val="0000203A"/>
    <w:rsid w:val="00003896"/>
    <w:rsid w:val="00004447"/>
    <w:rsid w:val="0000568E"/>
    <w:rsid w:val="00007FF0"/>
    <w:rsid w:val="00010431"/>
    <w:rsid w:val="00010434"/>
    <w:rsid w:val="00010C9D"/>
    <w:rsid w:val="00015D4D"/>
    <w:rsid w:val="00020AA2"/>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76ABE"/>
    <w:rsid w:val="000846C4"/>
    <w:rsid w:val="00092F69"/>
    <w:rsid w:val="0009362C"/>
    <w:rsid w:val="00096723"/>
    <w:rsid w:val="000A0689"/>
    <w:rsid w:val="000A207C"/>
    <w:rsid w:val="000B0730"/>
    <w:rsid w:val="000B07A2"/>
    <w:rsid w:val="000B468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2CE9"/>
    <w:rsid w:val="00167AB5"/>
    <w:rsid w:val="00180BBD"/>
    <w:rsid w:val="001830DE"/>
    <w:rsid w:val="0019048A"/>
    <w:rsid w:val="001908BD"/>
    <w:rsid w:val="00192214"/>
    <w:rsid w:val="00192FD0"/>
    <w:rsid w:val="00194C08"/>
    <w:rsid w:val="001953C8"/>
    <w:rsid w:val="00195713"/>
    <w:rsid w:val="001A1DD4"/>
    <w:rsid w:val="001A7607"/>
    <w:rsid w:val="001B0890"/>
    <w:rsid w:val="001B1176"/>
    <w:rsid w:val="001B1645"/>
    <w:rsid w:val="001B1E64"/>
    <w:rsid w:val="001C2CB1"/>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99D"/>
    <w:rsid w:val="00206A53"/>
    <w:rsid w:val="002076E6"/>
    <w:rsid w:val="002079E2"/>
    <w:rsid w:val="00211FF6"/>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4543"/>
    <w:rsid w:val="00265B98"/>
    <w:rsid w:val="002721FD"/>
    <w:rsid w:val="002752C5"/>
    <w:rsid w:val="00275558"/>
    <w:rsid w:val="002755C5"/>
    <w:rsid w:val="00277D6F"/>
    <w:rsid w:val="002812E1"/>
    <w:rsid w:val="002848D2"/>
    <w:rsid w:val="002852C0"/>
    <w:rsid w:val="00285C7D"/>
    <w:rsid w:val="00291CEF"/>
    <w:rsid w:val="002947C0"/>
    <w:rsid w:val="00295406"/>
    <w:rsid w:val="002967E6"/>
    <w:rsid w:val="002A0F7F"/>
    <w:rsid w:val="002A2D4C"/>
    <w:rsid w:val="002A313E"/>
    <w:rsid w:val="002A4D25"/>
    <w:rsid w:val="002A548A"/>
    <w:rsid w:val="002B1F82"/>
    <w:rsid w:val="002B2459"/>
    <w:rsid w:val="002B5ED6"/>
    <w:rsid w:val="002B6D91"/>
    <w:rsid w:val="002C11BB"/>
    <w:rsid w:val="002C142F"/>
    <w:rsid w:val="002D0C54"/>
    <w:rsid w:val="002D7A64"/>
    <w:rsid w:val="002E2092"/>
    <w:rsid w:val="002E2971"/>
    <w:rsid w:val="002F2C74"/>
    <w:rsid w:val="002F3EEA"/>
    <w:rsid w:val="002F50BA"/>
    <w:rsid w:val="002F7376"/>
    <w:rsid w:val="003023D3"/>
    <w:rsid w:val="00303EBF"/>
    <w:rsid w:val="0030495A"/>
    <w:rsid w:val="00307FCC"/>
    <w:rsid w:val="00311152"/>
    <w:rsid w:val="003130D3"/>
    <w:rsid w:val="00313A00"/>
    <w:rsid w:val="00316227"/>
    <w:rsid w:val="00317940"/>
    <w:rsid w:val="0032026B"/>
    <w:rsid w:val="00320473"/>
    <w:rsid w:val="0032694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76F76"/>
    <w:rsid w:val="00380926"/>
    <w:rsid w:val="00381949"/>
    <w:rsid w:val="00382744"/>
    <w:rsid w:val="00390851"/>
    <w:rsid w:val="00392498"/>
    <w:rsid w:val="00392ACB"/>
    <w:rsid w:val="003953C3"/>
    <w:rsid w:val="00397135"/>
    <w:rsid w:val="003A0B67"/>
    <w:rsid w:val="003A0E12"/>
    <w:rsid w:val="003A7B8D"/>
    <w:rsid w:val="003B0F60"/>
    <w:rsid w:val="003B54D7"/>
    <w:rsid w:val="003B56FC"/>
    <w:rsid w:val="003C261F"/>
    <w:rsid w:val="003C28D3"/>
    <w:rsid w:val="003C368C"/>
    <w:rsid w:val="003D0C90"/>
    <w:rsid w:val="003D249B"/>
    <w:rsid w:val="003D7829"/>
    <w:rsid w:val="003E0AB7"/>
    <w:rsid w:val="003E1BFA"/>
    <w:rsid w:val="003E4706"/>
    <w:rsid w:val="003F1367"/>
    <w:rsid w:val="003F7E30"/>
    <w:rsid w:val="00401780"/>
    <w:rsid w:val="00406365"/>
    <w:rsid w:val="004124EC"/>
    <w:rsid w:val="00414194"/>
    <w:rsid w:val="00415DDE"/>
    <w:rsid w:val="004165D8"/>
    <w:rsid w:val="004168E2"/>
    <w:rsid w:val="00420004"/>
    <w:rsid w:val="004300B5"/>
    <w:rsid w:val="00432376"/>
    <w:rsid w:val="00433C38"/>
    <w:rsid w:val="00436F5E"/>
    <w:rsid w:val="00441A6B"/>
    <w:rsid w:val="00442767"/>
    <w:rsid w:val="004432AE"/>
    <w:rsid w:val="00443B50"/>
    <w:rsid w:val="00446BCF"/>
    <w:rsid w:val="00447FAE"/>
    <w:rsid w:val="00450133"/>
    <w:rsid w:val="00452D0C"/>
    <w:rsid w:val="00453860"/>
    <w:rsid w:val="0045587F"/>
    <w:rsid w:val="004558C8"/>
    <w:rsid w:val="004614FD"/>
    <w:rsid w:val="0046289E"/>
    <w:rsid w:val="00462E4C"/>
    <w:rsid w:val="004658B7"/>
    <w:rsid w:val="004665D1"/>
    <w:rsid w:val="00473B1D"/>
    <w:rsid w:val="00474B4A"/>
    <w:rsid w:val="00475B2F"/>
    <w:rsid w:val="0047634E"/>
    <w:rsid w:val="00482F68"/>
    <w:rsid w:val="004831DA"/>
    <w:rsid w:val="00484E4B"/>
    <w:rsid w:val="004A0024"/>
    <w:rsid w:val="004A0789"/>
    <w:rsid w:val="004A23FB"/>
    <w:rsid w:val="004A5679"/>
    <w:rsid w:val="004A67A3"/>
    <w:rsid w:val="004B3B77"/>
    <w:rsid w:val="004B4971"/>
    <w:rsid w:val="004B4D2F"/>
    <w:rsid w:val="004B5557"/>
    <w:rsid w:val="004C0393"/>
    <w:rsid w:val="004C1A04"/>
    <w:rsid w:val="004D2A33"/>
    <w:rsid w:val="004D5415"/>
    <w:rsid w:val="004E15C5"/>
    <w:rsid w:val="004F0FC8"/>
    <w:rsid w:val="004F2B67"/>
    <w:rsid w:val="004F3675"/>
    <w:rsid w:val="004F520D"/>
    <w:rsid w:val="004F5837"/>
    <w:rsid w:val="004F724F"/>
    <w:rsid w:val="004F7F05"/>
    <w:rsid w:val="00500C76"/>
    <w:rsid w:val="00512042"/>
    <w:rsid w:val="005165EC"/>
    <w:rsid w:val="0052181C"/>
    <w:rsid w:val="005231A3"/>
    <w:rsid w:val="005252C2"/>
    <w:rsid w:val="00525D6E"/>
    <w:rsid w:val="00526829"/>
    <w:rsid w:val="00526DEC"/>
    <w:rsid w:val="00527E22"/>
    <w:rsid w:val="00533C11"/>
    <w:rsid w:val="00536B2D"/>
    <w:rsid w:val="00541CB8"/>
    <w:rsid w:val="005443A5"/>
    <w:rsid w:val="00544CDD"/>
    <w:rsid w:val="00545C98"/>
    <w:rsid w:val="0055195E"/>
    <w:rsid w:val="005520C5"/>
    <w:rsid w:val="00553811"/>
    <w:rsid w:val="00563E9C"/>
    <w:rsid w:val="0056759A"/>
    <w:rsid w:val="00567FD7"/>
    <w:rsid w:val="00572F7B"/>
    <w:rsid w:val="0058532E"/>
    <w:rsid w:val="00594E04"/>
    <w:rsid w:val="005A0B23"/>
    <w:rsid w:val="005A15E0"/>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4538"/>
    <w:rsid w:val="006A62B4"/>
    <w:rsid w:val="006A72A9"/>
    <w:rsid w:val="006A7C3A"/>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187"/>
    <w:rsid w:val="006E3F73"/>
    <w:rsid w:val="006E4BE4"/>
    <w:rsid w:val="006E4D51"/>
    <w:rsid w:val="006F33D1"/>
    <w:rsid w:val="006F50A1"/>
    <w:rsid w:val="006F50C0"/>
    <w:rsid w:val="006F528C"/>
    <w:rsid w:val="006F6CF0"/>
    <w:rsid w:val="006F7CBB"/>
    <w:rsid w:val="00700489"/>
    <w:rsid w:val="007022F5"/>
    <w:rsid w:val="00705E5A"/>
    <w:rsid w:val="0071365B"/>
    <w:rsid w:val="00714389"/>
    <w:rsid w:val="007154F4"/>
    <w:rsid w:val="00715EEB"/>
    <w:rsid w:val="00725CA4"/>
    <w:rsid w:val="00727AD5"/>
    <w:rsid w:val="007332C4"/>
    <w:rsid w:val="007506E7"/>
    <w:rsid w:val="0075163B"/>
    <w:rsid w:val="007521C6"/>
    <w:rsid w:val="00754E05"/>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317"/>
    <w:rsid w:val="00796AA4"/>
    <w:rsid w:val="00796FC2"/>
    <w:rsid w:val="007A2B3A"/>
    <w:rsid w:val="007A6E55"/>
    <w:rsid w:val="007B054E"/>
    <w:rsid w:val="007B0B12"/>
    <w:rsid w:val="007B1713"/>
    <w:rsid w:val="007B474D"/>
    <w:rsid w:val="007C18C7"/>
    <w:rsid w:val="007D08F7"/>
    <w:rsid w:val="007D5382"/>
    <w:rsid w:val="007D7EBA"/>
    <w:rsid w:val="007E0A0D"/>
    <w:rsid w:val="007E0F36"/>
    <w:rsid w:val="007E1499"/>
    <w:rsid w:val="007E36D3"/>
    <w:rsid w:val="007E4E76"/>
    <w:rsid w:val="007E6E3E"/>
    <w:rsid w:val="007F15FE"/>
    <w:rsid w:val="007F2BB1"/>
    <w:rsid w:val="007F31D1"/>
    <w:rsid w:val="007F362E"/>
    <w:rsid w:val="008026E1"/>
    <w:rsid w:val="0080633D"/>
    <w:rsid w:val="00807E97"/>
    <w:rsid w:val="008118EA"/>
    <w:rsid w:val="00817DBE"/>
    <w:rsid w:val="00817F9B"/>
    <w:rsid w:val="0082065C"/>
    <w:rsid w:val="00821DD7"/>
    <w:rsid w:val="0082489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5360"/>
    <w:rsid w:val="0088711D"/>
    <w:rsid w:val="00887B61"/>
    <w:rsid w:val="0089092C"/>
    <w:rsid w:val="00890C0A"/>
    <w:rsid w:val="008A2FDE"/>
    <w:rsid w:val="008A48A9"/>
    <w:rsid w:val="008A6639"/>
    <w:rsid w:val="008A793A"/>
    <w:rsid w:val="008B46A5"/>
    <w:rsid w:val="008B6061"/>
    <w:rsid w:val="008C2668"/>
    <w:rsid w:val="008C2ABB"/>
    <w:rsid w:val="008C3546"/>
    <w:rsid w:val="008C3D73"/>
    <w:rsid w:val="008C53A6"/>
    <w:rsid w:val="008D08AA"/>
    <w:rsid w:val="008D090E"/>
    <w:rsid w:val="008D75D8"/>
    <w:rsid w:val="008E14CB"/>
    <w:rsid w:val="008E1770"/>
    <w:rsid w:val="008E34B6"/>
    <w:rsid w:val="008E5426"/>
    <w:rsid w:val="008E666F"/>
    <w:rsid w:val="008E79D3"/>
    <w:rsid w:val="008F4FCE"/>
    <w:rsid w:val="00900E90"/>
    <w:rsid w:val="00904281"/>
    <w:rsid w:val="00910D65"/>
    <w:rsid w:val="00914024"/>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7229"/>
    <w:rsid w:val="00970F9F"/>
    <w:rsid w:val="00974B91"/>
    <w:rsid w:val="009751CB"/>
    <w:rsid w:val="00980DBA"/>
    <w:rsid w:val="00981A1C"/>
    <w:rsid w:val="00983328"/>
    <w:rsid w:val="00984027"/>
    <w:rsid w:val="00984D37"/>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69C"/>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C7ACA"/>
    <w:rsid w:val="00AD158B"/>
    <w:rsid w:val="00AD55F7"/>
    <w:rsid w:val="00AD586D"/>
    <w:rsid w:val="00AD73C2"/>
    <w:rsid w:val="00AD73CF"/>
    <w:rsid w:val="00AE6620"/>
    <w:rsid w:val="00B017B0"/>
    <w:rsid w:val="00B044D6"/>
    <w:rsid w:val="00B06A02"/>
    <w:rsid w:val="00B075AB"/>
    <w:rsid w:val="00B1075C"/>
    <w:rsid w:val="00B11537"/>
    <w:rsid w:val="00B15913"/>
    <w:rsid w:val="00B219DF"/>
    <w:rsid w:val="00B22A89"/>
    <w:rsid w:val="00B25055"/>
    <w:rsid w:val="00B25289"/>
    <w:rsid w:val="00B25E16"/>
    <w:rsid w:val="00B34505"/>
    <w:rsid w:val="00B35533"/>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42E7"/>
    <w:rsid w:val="00BF23FC"/>
    <w:rsid w:val="00BF35A1"/>
    <w:rsid w:val="00BF4899"/>
    <w:rsid w:val="00BF5F48"/>
    <w:rsid w:val="00BF61C1"/>
    <w:rsid w:val="00BF6363"/>
    <w:rsid w:val="00C0059E"/>
    <w:rsid w:val="00C00982"/>
    <w:rsid w:val="00C122BF"/>
    <w:rsid w:val="00C12900"/>
    <w:rsid w:val="00C135E8"/>
    <w:rsid w:val="00C14CA8"/>
    <w:rsid w:val="00C170F9"/>
    <w:rsid w:val="00C20B49"/>
    <w:rsid w:val="00C22D1B"/>
    <w:rsid w:val="00C246FE"/>
    <w:rsid w:val="00C24DB4"/>
    <w:rsid w:val="00C25613"/>
    <w:rsid w:val="00C27865"/>
    <w:rsid w:val="00C27E5E"/>
    <w:rsid w:val="00C31F63"/>
    <w:rsid w:val="00C32817"/>
    <w:rsid w:val="00C3395F"/>
    <w:rsid w:val="00C366E7"/>
    <w:rsid w:val="00C36DB0"/>
    <w:rsid w:val="00C410B2"/>
    <w:rsid w:val="00C50B3B"/>
    <w:rsid w:val="00C5429C"/>
    <w:rsid w:val="00C62C76"/>
    <w:rsid w:val="00C62F33"/>
    <w:rsid w:val="00C6409F"/>
    <w:rsid w:val="00C66BC4"/>
    <w:rsid w:val="00C84480"/>
    <w:rsid w:val="00C90548"/>
    <w:rsid w:val="00C9262D"/>
    <w:rsid w:val="00C9344E"/>
    <w:rsid w:val="00C937F6"/>
    <w:rsid w:val="00C95A3D"/>
    <w:rsid w:val="00CA4392"/>
    <w:rsid w:val="00CA591E"/>
    <w:rsid w:val="00CB15DA"/>
    <w:rsid w:val="00CB4237"/>
    <w:rsid w:val="00CB48FA"/>
    <w:rsid w:val="00CC37DD"/>
    <w:rsid w:val="00CC3BE6"/>
    <w:rsid w:val="00CC3F71"/>
    <w:rsid w:val="00CC4420"/>
    <w:rsid w:val="00CC67F3"/>
    <w:rsid w:val="00CC733D"/>
    <w:rsid w:val="00CD1251"/>
    <w:rsid w:val="00CE3EA0"/>
    <w:rsid w:val="00CE595B"/>
    <w:rsid w:val="00CE5CD1"/>
    <w:rsid w:val="00CE68D6"/>
    <w:rsid w:val="00CF07BA"/>
    <w:rsid w:val="00CF398A"/>
    <w:rsid w:val="00CF5B84"/>
    <w:rsid w:val="00D011A0"/>
    <w:rsid w:val="00D0417D"/>
    <w:rsid w:val="00D05CD8"/>
    <w:rsid w:val="00D12C4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85AFA"/>
    <w:rsid w:val="00D94842"/>
    <w:rsid w:val="00DA07A8"/>
    <w:rsid w:val="00DA168C"/>
    <w:rsid w:val="00DA2C7F"/>
    <w:rsid w:val="00DA37C9"/>
    <w:rsid w:val="00DA6E18"/>
    <w:rsid w:val="00DB0EC1"/>
    <w:rsid w:val="00DB0F1B"/>
    <w:rsid w:val="00DB1D33"/>
    <w:rsid w:val="00DB2FAA"/>
    <w:rsid w:val="00DC205A"/>
    <w:rsid w:val="00DC6F2E"/>
    <w:rsid w:val="00DD2165"/>
    <w:rsid w:val="00DD5114"/>
    <w:rsid w:val="00DD6AF1"/>
    <w:rsid w:val="00DD7191"/>
    <w:rsid w:val="00DE04B3"/>
    <w:rsid w:val="00DF4721"/>
    <w:rsid w:val="00DF788F"/>
    <w:rsid w:val="00E012D5"/>
    <w:rsid w:val="00E06FB3"/>
    <w:rsid w:val="00E14F4C"/>
    <w:rsid w:val="00E1787A"/>
    <w:rsid w:val="00E22D43"/>
    <w:rsid w:val="00E232C1"/>
    <w:rsid w:val="00E43056"/>
    <w:rsid w:val="00E4541F"/>
    <w:rsid w:val="00E52CB4"/>
    <w:rsid w:val="00E53EBD"/>
    <w:rsid w:val="00E5482F"/>
    <w:rsid w:val="00E5485D"/>
    <w:rsid w:val="00E556C7"/>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19E6"/>
    <w:rsid w:val="00ED32F3"/>
    <w:rsid w:val="00EE036A"/>
    <w:rsid w:val="00EE45BB"/>
    <w:rsid w:val="00EE5559"/>
    <w:rsid w:val="00EE62A6"/>
    <w:rsid w:val="00EE7CC5"/>
    <w:rsid w:val="00EF3BA7"/>
    <w:rsid w:val="00EF3C01"/>
    <w:rsid w:val="00EF6720"/>
    <w:rsid w:val="00EF74BD"/>
    <w:rsid w:val="00F00134"/>
    <w:rsid w:val="00F0143D"/>
    <w:rsid w:val="00F019F9"/>
    <w:rsid w:val="00F01FCB"/>
    <w:rsid w:val="00F0526D"/>
    <w:rsid w:val="00F12229"/>
    <w:rsid w:val="00F15FF3"/>
    <w:rsid w:val="00F21A96"/>
    <w:rsid w:val="00F2242B"/>
    <w:rsid w:val="00F259EB"/>
    <w:rsid w:val="00F267D3"/>
    <w:rsid w:val="00F27584"/>
    <w:rsid w:val="00F31713"/>
    <w:rsid w:val="00F32420"/>
    <w:rsid w:val="00F37BA4"/>
    <w:rsid w:val="00F412EB"/>
    <w:rsid w:val="00F41786"/>
    <w:rsid w:val="00F42DF6"/>
    <w:rsid w:val="00F517B3"/>
    <w:rsid w:val="00F5508F"/>
    <w:rsid w:val="00F80E30"/>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09A"/>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2390</Words>
  <Characters>13150</Characters>
  <Application>Microsoft Office Word</Application>
  <DocSecurity>0</DocSecurity>
  <Lines>109</Lines>
  <Paragraphs>31</Paragraphs>
  <ScaleCrop>false</ScaleCrop>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840</cp:revision>
  <dcterms:created xsi:type="dcterms:W3CDTF">2023-08-01T09:04:00Z</dcterms:created>
  <dcterms:modified xsi:type="dcterms:W3CDTF">2024-10-21T08:21:00Z</dcterms:modified>
</cp:coreProperties>
</file>