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5780D90D" w:rsidR="00B84FFD" w:rsidRDefault="00B84FFD" w:rsidP="00141466">
            <w:pPr>
              <w:spacing w:after="120"/>
              <w:rPr>
                <w:rFonts w:cs="Calibri"/>
              </w:rPr>
            </w:pPr>
            <w:r>
              <w:rPr>
                <w:rFonts w:cs="Calibri"/>
              </w:rPr>
              <w:t xml:space="preserve">: </w:t>
            </w:r>
            <w:r w:rsidR="00366DEA">
              <w:t>PATE A TARTINER</w:t>
            </w:r>
            <w:r w:rsidR="00B45857">
              <w:rPr>
                <w:rFonts w:cs="Calibri"/>
              </w:rPr>
              <w:t xml:space="preserve"> 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792B91"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0DA8A7EC" w14:textId="3B769753" w:rsidR="00AD0A3E" w:rsidRDefault="00AD0A3E"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47B47DE4" w:rsidR="00B84FFD" w:rsidRPr="00E832B0" w:rsidRDefault="00AD0A3E" w:rsidP="00AD0A3E">
            <w:pPr>
              <w:keepLines w:val="0"/>
              <w:spacing w:after="160"/>
              <w:rPr>
                <w:rFonts w:cs="Calibri"/>
                <w:sz w:val="22"/>
                <w:szCs w:val="22"/>
                <w:highlight w:val="yellow"/>
                <w:lang w:val="fr-FR" w:eastAsia="en-US"/>
              </w:rPr>
            </w:pPr>
            <w:r w:rsidRPr="00835C70">
              <w:rPr>
                <w:rFonts w:cs="Calibri"/>
                <w:sz w:val="22"/>
                <w:lang w:val="fr-FR"/>
              </w:rPr>
              <w:t>dextro-</w:t>
            </w:r>
            <w:proofErr w:type="spellStart"/>
            <w:r w:rsidRPr="00835C70">
              <w:rPr>
                <w:rFonts w:cs="Calibri"/>
                <w:sz w:val="22"/>
                <w:lang w:val="fr-FR"/>
              </w:rPr>
              <w:t>limonene</w:t>
            </w:r>
            <w:proofErr w:type="spellEnd"/>
            <w:r w:rsidRPr="00AD0A3E">
              <w:rPr>
                <w:rFonts w:cs="Calibri"/>
                <w:lang w:val="fr-FR"/>
              </w:rPr>
              <w:t xml:space="preserve">, </w:t>
            </w:r>
            <w:proofErr w:type="spellStart"/>
            <w:r w:rsidRPr="00835C70">
              <w:rPr>
                <w:rFonts w:cs="Calibri"/>
                <w:sz w:val="22"/>
                <w:lang w:val="fr-FR"/>
              </w:rPr>
              <w:t>coumarin</w:t>
            </w:r>
            <w:proofErr w:type="spellEnd"/>
            <w:r>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6576DD20" w:rsidR="00B84FFD" w:rsidRPr="00DE091F" w:rsidRDefault="00B84FFD" w:rsidP="00AD0A3E">
            <w:pPr>
              <w:pStyle w:val="SDSTableTextNormal"/>
              <w:keepLines w:val="0"/>
              <w:rPr>
                <w:rFonts w:ascii="Calibri" w:eastAsia="Calibri" w:hAnsi="Calibri" w:cs="Calibri"/>
                <w:noProof w:val="0"/>
                <w:sz w:val="22"/>
                <w:szCs w:val="22"/>
                <w:highlight w:val="yellow"/>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91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2977"/>
        <w:gridCol w:w="3402"/>
        <w:gridCol w:w="709"/>
        <w:gridCol w:w="3827"/>
      </w:tblGrid>
      <w:tr w:rsidR="00FB18EA" w14:paraId="4D9269C2" w14:textId="77777777" w:rsidTr="00835C70">
        <w:trPr>
          <w:trHeight w:val="618"/>
        </w:trPr>
        <w:tc>
          <w:tcPr>
            <w:tcW w:w="2977" w:type="dxa"/>
            <w:shd w:val="clear" w:color="auto" w:fill="8EAADB" w:themeFill="accent1" w:themeFillTint="99"/>
          </w:tcPr>
          <w:p w14:paraId="2044E5F3"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sz w:val="18"/>
              </w:rPr>
              <w:t>Nom</w:t>
            </w:r>
          </w:p>
        </w:tc>
        <w:tc>
          <w:tcPr>
            <w:tcW w:w="3402" w:type="dxa"/>
            <w:shd w:val="clear" w:color="auto" w:fill="8EAADB" w:themeFill="accent1" w:themeFillTint="99"/>
          </w:tcPr>
          <w:p w14:paraId="0E36593F" w14:textId="77777777" w:rsidR="00FB18EA" w:rsidRPr="00FB18EA" w:rsidRDefault="00FB18EA" w:rsidP="00EC7895">
            <w:pPr>
              <w:pStyle w:val="TableParagraph"/>
              <w:spacing w:before="47"/>
              <w:ind w:left="58"/>
              <w:rPr>
                <w:rFonts w:ascii="Arial"/>
                <w:b/>
                <w:color w:val="000000" w:themeColor="text1"/>
                <w:sz w:val="18"/>
              </w:rPr>
            </w:pPr>
            <w:proofErr w:type="spellStart"/>
            <w:r w:rsidRPr="00FB18EA">
              <w:rPr>
                <w:rFonts w:ascii="Arial"/>
                <w:b/>
                <w:color w:val="000000" w:themeColor="text1"/>
                <w:sz w:val="18"/>
              </w:rPr>
              <w:t>Identificateur</w:t>
            </w:r>
            <w:proofErr w:type="spellEnd"/>
            <w:r w:rsidRPr="00FB18EA">
              <w:rPr>
                <w:rFonts w:ascii="Arial"/>
                <w:b/>
                <w:color w:val="000000" w:themeColor="text1"/>
                <w:spacing w:val="-4"/>
                <w:sz w:val="18"/>
              </w:rPr>
              <w:t xml:space="preserve"> </w:t>
            </w:r>
            <w:r w:rsidRPr="00FB18EA">
              <w:rPr>
                <w:rFonts w:ascii="Arial"/>
                <w:b/>
                <w:color w:val="000000" w:themeColor="text1"/>
                <w:sz w:val="18"/>
              </w:rPr>
              <w:t>de</w:t>
            </w:r>
            <w:r w:rsidRPr="00FB18EA">
              <w:rPr>
                <w:rFonts w:ascii="Arial"/>
                <w:b/>
                <w:color w:val="000000" w:themeColor="text1"/>
                <w:spacing w:val="-4"/>
                <w:sz w:val="18"/>
              </w:rPr>
              <w:t xml:space="preserve"> </w:t>
            </w:r>
            <w:proofErr w:type="spellStart"/>
            <w:r w:rsidRPr="00FB18EA">
              <w:rPr>
                <w:rFonts w:ascii="Arial"/>
                <w:b/>
                <w:color w:val="000000" w:themeColor="text1"/>
                <w:sz w:val="18"/>
              </w:rPr>
              <w:t>produit</w:t>
            </w:r>
            <w:proofErr w:type="spellEnd"/>
          </w:p>
        </w:tc>
        <w:tc>
          <w:tcPr>
            <w:tcW w:w="709" w:type="dxa"/>
            <w:shd w:val="clear" w:color="auto" w:fill="8EAADB" w:themeFill="accent1" w:themeFillTint="99"/>
          </w:tcPr>
          <w:p w14:paraId="560A81AE"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w w:val="101"/>
                <w:sz w:val="18"/>
              </w:rPr>
              <w:t>%</w:t>
            </w:r>
          </w:p>
        </w:tc>
        <w:tc>
          <w:tcPr>
            <w:tcW w:w="3827" w:type="dxa"/>
            <w:shd w:val="clear" w:color="auto" w:fill="8EAADB" w:themeFill="accent1" w:themeFillTint="99"/>
          </w:tcPr>
          <w:p w14:paraId="6C1DC819" w14:textId="77777777" w:rsidR="00FB18EA" w:rsidRPr="00FB18EA" w:rsidRDefault="00FB18EA" w:rsidP="00EC7895">
            <w:pPr>
              <w:pStyle w:val="TableParagraph"/>
              <w:spacing w:before="47" w:line="261" w:lineRule="auto"/>
              <w:ind w:right="232"/>
              <w:rPr>
                <w:rFonts w:ascii="Arial" w:hAnsi="Arial"/>
                <w:b/>
                <w:color w:val="000000" w:themeColor="text1"/>
                <w:sz w:val="18"/>
                <w:lang w:val="fr-FR"/>
              </w:rPr>
            </w:pPr>
            <w:r w:rsidRPr="00FB18EA">
              <w:rPr>
                <w:rFonts w:ascii="Arial" w:hAnsi="Arial"/>
                <w:b/>
                <w:color w:val="000000" w:themeColor="text1"/>
                <w:sz w:val="18"/>
                <w:lang w:val="fr-FR"/>
              </w:rPr>
              <w:t>Classification selon le règlement</w:t>
            </w:r>
            <w:r w:rsidRPr="00FB18EA">
              <w:rPr>
                <w:rFonts w:ascii="Arial" w:hAnsi="Arial"/>
                <w:b/>
                <w:color w:val="000000" w:themeColor="text1"/>
                <w:spacing w:val="-47"/>
                <w:sz w:val="18"/>
                <w:lang w:val="fr-FR"/>
              </w:rPr>
              <w:t xml:space="preserve"> </w:t>
            </w:r>
            <w:r w:rsidRPr="00FB18EA">
              <w:rPr>
                <w:rFonts w:ascii="Arial" w:hAnsi="Arial"/>
                <w:b/>
                <w:color w:val="000000" w:themeColor="text1"/>
                <w:sz w:val="18"/>
                <w:lang w:val="fr-FR"/>
              </w:rPr>
              <w:t>(CE)</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N°</w:t>
            </w:r>
            <w:r w:rsidRPr="00FB18EA">
              <w:rPr>
                <w:rFonts w:ascii="Arial" w:hAnsi="Arial"/>
                <w:b/>
                <w:color w:val="000000" w:themeColor="text1"/>
                <w:spacing w:val="-1"/>
                <w:sz w:val="18"/>
                <w:lang w:val="fr-FR"/>
              </w:rPr>
              <w:t xml:space="preserve"> </w:t>
            </w:r>
            <w:r w:rsidRPr="00FB18EA">
              <w:rPr>
                <w:rFonts w:ascii="Arial" w:hAnsi="Arial"/>
                <w:b/>
                <w:color w:val="000000" w:themeColor="text1"/>
                <w:sz w:val="18"/>
                <w:lang w:val="fr-FR"/>
              </w:rPr>
              <w:t>1272/2008</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[CLP]</w:t>
            </w:r>
          </w:p>
        </w:tc>
      </w:tr>
      <w:tr w:rsidR="00A918A4" w:rsidRPr="00792B91" w14:paraId="438BCF80" w14:textId="77777777" w:rsidTr="00835C70">
        <w:trPr>
          <w:trHeight w:val="853"/>
        </w:trPr>
        <w:tc>
          <w:tcPr>
            <w:tcW w:w="2977" w:type="dxa"/>
          </w:tcPr>
          <w:p w14:paraId="04F008ED" w14:textId="3EA3E236" w:rsidR="00A918A4" w:rsidRPr="001A709E" w:rsidRDefault="00A918A4" w:rsidP="00A918A4">
            <w:pPr>
              <w:pStyle w:val="TableParagraph"/>
              <w:spacing w:before="41"/>
              <w:rPr>
                <w:rFonts w:ascii="Calibri" w:eastAsia="Calibri" w:hAnsi="Calibri" w:cs="Calibri"/>
                <w:lang w:val="fr-FR"/>
              </w:rPr>
            </w:pPr>
            <w:r w:rsidRPr="00835C70">
              <w:rPr>
                <w:rFonts w:ascii="Calibri" w:eastAsia="Calibri" w:hAnsi="Calibri" w:cs="Calibri"/>
                <w:lang w:val="fr-FR"/>
              </w:rPr>
              <w:t>benzyl benzoate</w:t>
            </w:r>
          </w:p>
        </w:tc>
        <w:tc>
          <w:tcPr>
            <w:tcW w:w="3402" w:type="dxa"/>
          </w:tcPr>
          <w:p w14:paraId="70A4291E" w14:textId="0C38153E" w:rsidR="00A918A4" w:rsidRPr="00835C70" w:rsidRDefault="00A918A4" w:rsidP="00A918A4">
            <w:pPr>
              <w:pStyle w:val="TableParagraph"/>
              <w:spacing w:before="32"/>
              <w:ind w:left="58"/>
              <w:rPr>
                <w:rFonts w:ascii="Calibri" w:eastAsia="Calibri" w:hAnsi="Calibri" w:cs="Calibri"/>
                <w:lang w:val="fr-FR"/>
              </w:rPr>
            </w:pPr>
            <w:r w:rsidRPr="00835C70">
              <w:rPr>
                <w:rFonts w:ascii="Calibri" w:eastAsia="Calibri" w:hAnsi="Calibri" w:cs="Calibri"/>
                <w:lang w:val="fr-FR"/>
              </w:rPr>
              <w:t>CAS</w:t>
            </w:r>
            <w:r w:rsidR="00835C70">
              <w:rPr>
                <w:rFonts w:ascii="Calibri" w:eastAsia="Calibri" w:hAnsi="Calibri" w:cs="Calibri"/>
                <w:lang w:val="fr-FR"/>
              </w:rPr>
              <w:t xml:space="preserve"> : </w:t>
            </w:r>
            <w:r w:rsidRPr="00835C70">
              <w:rPr>
                <w:rFonts w:ascii="Calibri" w:eastAsia="Calibri" w:hAnsi="Calibri" w:cs="Calibri"/>
                <w:lang w:val="fr-FR"/>
              </w:rPr>
              <w:t>120-51-4</w:t>
            </w:r>
          </w:p>
          <w:p w14:paraId="1A5773B7" w14:textId="65E7A738" w:rsidR="00A918A4" w:rsidRPr="00835C70" w:rsidRDefault="00A918A4" w:rsidP="00A918A4">
            <w:pPr>
              <w:pStyle w:val="TableParagraph"/>
              <w:spacing w:before="32"/>
              <w:ind w:left="58"/>
              <w:rPr>
                <w:rFonts w:ascii="Calibri" w:eastAsia="Calibri" w:hAnsi="Calibri" w:cs="Calibri"/>
                <w:lang w:val="fr-FR"/>
              </w:rPr>
            </w:pPr>
            <w:r w:rsidRPr="00835C70">
              <w:rPr>
                <w:rFonts w:ascii="Calibri" w:eastAsia="Calibri" w:hAnsi="Calibri" w:cs="Calibri"/>
                <w:lang w:val="fr-FR"/>
              </w:rPr>
              <w:t>EINECS</w:t>
            </w:r>
            <w:r w:rsidR="00835C70">
              <w:rPr>
                <w:rFonts w:ascii="Calibri" w:eastAsia="Calibri" w:hAnsi="Calibri" w:cs="Calibri"/>
                <w:lang w:val="fr-FR"/>
              </w:rPr>
              <w:t xml:space="preserve"> : </w:t>
            </w:r>
            <w:r w:rsidRPr="00835C70">
              <w:rPr>
                <w:rFonts w:ascii="Calibri" w:eastAsia="Calibri" w:hAnsi="Calibri" w:cs="Calibri"/>
                <w:lang w:val="fr-FR"/>
              </w:rPr>
              <w:t>204-402-9</w:t>
            </w:r>
          </w:p>
          <w:p w14:paraId="26030C06" w14:textId="1B9C8974" w:rsidR="00A918A4" w:rsidRPr="00835C70" w:rsidRDefault="00A918A4" w:rsidP="00A918A4">
            <w:pPr>
              <w:pStyle w:val="TableParagraph"/>
              <w:spacing w:before="32"/>
              <w:ind w:left="58"/>
              <w:rPr>
                <w:rFonts w:ascii="Calibri" w:eastAsia="Calibri" w:hAnsi="Calibri" w:cs="Calibri"/>
                <w:lang w:val="fr-FR"/>
              </w:rPr>
            </w:pPr>
            <w:r w:rsidRPr="00835C70">
              <w:rPr>
                <w:rFonts w:ascii="Calibri" w:eastAsia="Calibri" w:hAnsi="Calibri" w:cs="Calibri"/>
                <w:lang w:val="fr-FR"/>
              </w:rPr>
              <w:t>REACH</w:t>
            </w:r>
            <w:r w:rsidR="00835C70">
              <w:rPr>
                <w:rFonts w:ascii="Calibri" w:eastAsia="Calibri" w:hAnsi="Calibri" w:cs="Calibri"/>
                <w:lang w:val="fr-FR"/>
              </w:rPr>
              <w:t xml:space="preserve"> : </w:t>
            </w:r>
            <w:r w:rsidRPr="00835C70">
              <w:rPr>
                <w:rFonts w:ascii="Calibri" w:eastAsia="Calibri" w:hAnsi="Calibri" w:cs="Calibri"/>
                <w:lang w:val="fr-FR"/>
              </w:rPr>
              <w:t>01-2119976371-33-</w:t>
            </w:r>
          </w:p>
          <w:p w14:paraId="07933096" w14:textId="64CA5603" w:rsidR="00A918A4" w:rsidRPr="005A72F1" w:rsidRDefault="00A918A4" w:rsidP="00A918A4">
            <w:pPr>
              <w:pStyle w:val="TableParagraph"/>
              <w:spacing w:before="32"/>
              <w:ind w:left="58"/>
              <w:rPr>
                <w:rFonts w:ascii="Calibri" w:eastAsia="Calibri" w:hAnsi="Calibri" w:cs="Calibri"/>
                <w:lang w:val="fr-FR"/>
              </w:rPr>
            </w:pPr>
          </w:p>
        </w:tc>
        <w:tc>
          <w:tcPr>
            <w:tcW w:w="709" w:type="dxa"/>
          </w:tcPr>
          <w:p w14:paraId="34BB9EB8" w14:textId="70C6FC13" w:rsidR="00A918A4" w:rsidRPr="005A72F1" w:rsidRDefault="00A918A4" w:rsidP="00A918A4">
            <w:pPr>
              <w:pStyle w:val="TableParagraph"/>
              <w:spacing w:before="41"/>
              <w:rPr>
                <w:rFonts w:ascii="Calibri" w:eastAsia="Calibri" w:hAnsi="Calibri" w:cs="Calibri"/>
                <w:lang w:val="fr-FR"/>
              </w:rPr>
            </w:pPr>
            <w:r>
              <w:rPr>
                <w:rFonts w:ascii="Calibri" w:eastAsia="Calibri" w:hAnsi="Calibri" w:cs="Calibri"/>
                <w:lang w:val="fr-FR"/>
              </w:rPr>
              <w:t>2</w:t>
            </w:r>
          </w:p>
        </w:tc>
        <w:tc>
          <w:tcPr>
            <w:tcW w:w="3827" w:type="dxa"/>
          </w:tcPr>
          <w:p w14:paraId="1CC4C37A" w14:textId="01B44D40" w:rsidR="00A918A4" w:rsidRPr="00460669" w:rsidRDefault="00A918A4" w:rsidP="00A918A4">
            <w:pPr>
              <w:pStyle w:val="TableParagraph"/>
              <w:spacing w:before="46" w:line="288" w:lineRule="auto"/>
              <w:ind w:right="1565"/>
              <w:rPr>
                <w:rFonts w:ascii="Calibri" w:eastAsia="Calibri" w:hAnsi="Calibri" w:cs="Calibri"/>
              </w:rPr>
            </w:pPr>
            <w:r w:rsidRPr="00460669">
              <w:rPr>
                <w:rFonts w:ascii="Calibri" w:eastAsia="Calibri" w:hAnsi="Calibri" w:cs="Calibri"/>
              </w:rPr>
              <w:t>Acute Tox. 4, Aquatic Acute 1, Aquatic Chronic 2 H302, H400, H411</w:t>
            </w:r>
          </w:p>
        </w:tc>
      </w:tr>
      <w:tr w:rsidR="001C03E1" w:rsidRPr="00DD25C6" w14:paraId="6CAF8A69" w14:textId="77777777" w:rsidTr="00835C70">
        <w:trPr>
          <w:trHeight w:val="853"/>
        </w:trPr>
        <w:tc>
          <w:tcPr>
            <w:tcW w:w="2977" w:type="dxa"/>
          </w:tcPr>
          <w:p w14:paraId="32D61265" w14:textId="53CE3F12" w:rsidR="001C03E1" w:rsidRPr="00460669" w:rsidRDefault="001C03E1" w:rsidP="001C03E1">
            <w:pPr>
              <w:pStyle w:val="TableParagraph"/>
              <w:spacing w:before="41"/>
              <w:rPr>
                <w:rFonts w:ascii="Calibri" w:eastAsia="Calibri" w:hAnsi="Calibri" w:cs="Calibri"/>
                <w:lang w:val="nl-NL"/>
              </w:rPr>
            </w:pPr>
            <w:r w:rsidRPr="00460669">
              <w:rPr>
                <w:rFonts w:ascii="Calibri" w:eastAsia="Calibri" w:hAnsi="Calibri" w:cs="Calibri"/>
                <w:lang w:val="nl-NL"/>
              </w:rPr>
              <w:t>(4R)-1-methyl-4-prop-1-en-2-ylcyclohexene (</w:t>
            </w:r>
            <w:proofErr w:type="spellStart"/>
            <w:r w:rsidRPr="00460669">
              <w:rPr>
                <w:rFonts w:ascii="Calibri" w:eastAsia="Calibri" w:hAnsi="Calibri" w:cs="Calibri"/>
                <w:lang w:val="nl-NL"/>
              </w:rPr>
              <w:t>dextro-limonene</w:t>
            </w:r>
            <w:proofErr w:type="spellEnd"/>
            <w:r w:rsidRPr="00460669">
              <w:rPr>
                <w:rFonts w:ascii="Calibri" w:eastAsia="Calibri" w:hAnsi="Calibri" w:cs="Calibri"/>
                <w:lang w:val="nl-NL"/>
              </w:rPr>
              <w:t>)</w:t>
            </w:r>
          </w:p>
        </w:tc>
        <w:tc>
          <w:tcPr>
            <w:tcW w:w="3402" w:type="dxa"/>
          </w:tcPr>
          <w:p w14:paraId="49F37475" w14:textId="22D8F86A" w:rsidR="001C03E1" w:rsidRPr="00835C70" w:rsidRDefault="001C03E1" w:rsidP="001C03E1">
            <w:pPr>
              <w:pStyle w:val="TableParagraph"/>
              <w:spacing w:before="32"/>
              <w:ind w:left="58"/>
              <w:rPr>
                <w:rFonts w:ascii="Calibri" w:eastAsia="Calibri" w:hAnsi="Calibri" w:cs="Calibri"/>
                <w:lang w:val="fr-FR"/>
              </w:rPr>
            </w:pPr>
            <w:r w:rsidRPr="00835C70">
              <w:rPr>
                <w:rFonts w:ascii="Calibri" w:eastAsia="Calibri" w:hAnsi="Calibri" w:cs="Calibri"/>
                <w:lang w:val="fr-FR"/>
              </w:rPr>
              <w:t>CAS</w:t>
            </w:r>
            <w:r w:rsidR="00835C70">
              <w:rPr>
                <w:rFonts w:ascii="Calibri" w:eastAsia="Calibri" w:hAnsi="Calibri" w:cs="Calibri"/>
                <w:lang w:val="fr-FR"/>
              </w:rPr>
              <w:t xml:space="preserve"> : </w:t>
            </w:r>
            <w:r w:rsidRPr="00835C70">
              <w:rPr>
                <w:rFonts w:ascii="Calibri" w:eastAsia="Calibri" w:hAnsi="Calibri" w:cs="Calibri"/>
                <w:lang w:val="fr-FR"/>
              </w:rPr>
              <w:t>5989-27-5</w:t>
            </w:r>
          </w:p>
          <w:p w14:paraId="66550318" w14:textId="0EBCCAB0" w:rsidR="001C03E1" w:rsidRPr="00835C70" w:rsidRDefault="001C03E1" w:rsidP="001C03E1">
            <w:pPr>
              <w:pStyle w:val="TableParagraph"/>
              <w:spacing w:before="32"/>
              <w:ind w:left="58"/>
              <w:rPr>
                <w:rFonts w:ascii="Calibri" w:eastAsia="Calibri" w:hAnsi="Calibri" w:cs="Calibri"/>
                <w:lang w:val="fr-FR"/>
              </w:rPr>
            </w:pPr>
            <w:r w:rsidRPr="00835C70">
              <w:rPr>
                <w:rFonts w:ascii="Calibri" w:eastAsia="Calibri" w:hAnsi="Calibri" w:cs="Calibri"/>
                <w:lang w:val="fr-FR"/>
              </w:rPr>
              <w:t>EINECS</w:t>
            </w:r>
            <w:r w:rsidR="00835C70">
              <w:rPr>
                <w:rFonts w:ascii="Calibri" w:eastAsia="Calibri" w:hAnsi="Calibri" w:cs="Calibri"/>
                <w:lang w:val="fr-FR"/>
              </w:rPr>
              <w:t xml:space="preserve"> : </w:t>
            </w:r>
            <w:r w:rsidRPr="00835C70">
              <w:rPr>
                <w:rFonts w:ascii="Calibri" w:eastAsia="Calibri" w:hAnsi="Calibri" w:cs="Calibri"/>
                <w:lang w:val="fr-FR"/>
              </w:rPr>
              <w:t>227-813-5</w:t>
            </w:r>
          </w:p>
          <w:p w14:paraId="598C6842" w14:textId="3D69DE54" w:rsidR="001C03E1" w:rsidRPr="00835C70" w:rsidRDefault="001C03E1" w:rsidP="001C03E1">
            <w:pPr>
              <w:pStyle w:val="TableParagraph"/>
              <w:spacing w:before="32"/>
              <w:ind w:left="58"/>
              <w:rPr>
                <w:rFonts w:ascii="Calibri" w:eastAsia="Calibri" w:hAnsi="Calibri" w:cs="Calibri"/>
                <w:lang w:val="fr-FR"/>
              </w:rPr>
            </w:pPr>
            <w:r w:rsidRPr="00835C70">
              <w:rPr>
                <w:rFonts w:ascii="Calibri" w:eastAsia="Calibri" w:hAnsi="Calibri" w:cs="Calibri"/>
                <w:lang w:val="fr-FR"/>
              </w:rPr>
              <w:t>REACH</w:t>
            </w:r>
            <w:r w:rsidR="00835C70">
              <w:rPr>
                <w:rFonts w:ascii="Calibri" w:eastAsia="Calibri" w:hAnsi="Calibri" w:cs="Calibri"/>
                <w:lang w:val="fr-FR"/>
              </w:rPr>
              <w:t xml:space="preserve"> : </w:t>
            </w:r>
            <w:r w:rsidRPr="00835C70">
              <w:rPr>
                <w:rFonts w:ascii="Calibri" w:eastAsia="Calibri" w:hAnsi="Calibri" w:cs="Calibri"/>
                <w:lang w:val="fr-FR"/>
              </w:rPr>
              <w:t>01-2119529223-47-</w:t>
            </w:r>
          </w:p>
        </w:tc>
        <w:tc>
          <w:tcPr>
            <w:tcW w:w="709" w:type="dxa"/>
          </w:tcPr>
          <w:p w14:paraId="7A889553" w14:textId="0B00A86F" w:rsidR="001C03E1" w:rsidRPr="00835C70" w:rsidRDefault="00DD25C6" w:rsidP="001C03E1">
            <w:pPr>
              <w:pStyle w:val="TableParagraph"/>
              <w:spacing w:before="41"/>
              <w:rPr>
                <w:rFonts w:ascii="Calibri" w:eastAsia="Calibri" w:hAnsi="Calibri" w:cs="Calibri"/>
                <w:lang w:val="fr-FR"/>
              </w:rPr>
            </w:pPr>
            <w:r w:rsidRPr="00835C70">
              <w:rPr>
                <w:rFonts w:ascii="Calibri" w:eastAsia="Calibri" w:hAnsi="Calibri" w:cs="Calibri"/>
                <w:lang w:val="fr-FR"/>
              </w:rPr>
              <w:t>0,5</w:t>
            </w:r>
          </w:p>
        </w:tc>
        <w:tc>
          <w:tcPr>
            <w:tcW w:w="3827" w:type="dxa"/>
          </w:tcPr>
          <w:p w14:paraId="334A63A5" w14:textId="77777777" w:rsidR="00DD25C6" w:rsidRPr="00460669" w:rsidRDefault="00DD25C6" w:rsidP="00DD25C6">
            <w:pPr>
              <w:pStyle w:val="TableParagraph"/>
              <w:spacing w:before="86" w:line="228" w:lineRule="auto"/>
              <w:ind w:left="54" w:right="226"/>
              <w:rPr>
                <w:rFonts w:ascii="Calibri" w:eastAsia="Calibri" w:hAnsi="Calibri" w:cs="Calibri"/>
              </w:rPr>
            </w:pPr>
            <w:r w:rsidRPr="00460669">
              <w:rPr>
                <w:rFonts w:ascii="Calibri" w:eastAsia="Calibri" w:hAnsi="Calibri" w:cs="Calibri"/>
              </w:rPr>
              <w:t>Asp. Tox. 1, Eye Irrit. 2, Aquatic Acute 1, Aquatic Chronic 3, Flam.</w:t>
            </w:r>
          </w:p>
          <w:p w14:paraId="64D579D3" w14:textId="47DD890F" w:rsidR="001C03E1" w:rsidRPr="00DD25C6" w:rsidRDefault="00DD25C6" w:rsidP="00DD25C6">
            <w:pPr>
              <w:pStyle w:val="TableParagraph"/>
              <w:spacing w:before="46" w:line="288" w:lineRule="auto"/>
              <w:ind w:right="1565"/>
              <w:rPr>
                <w:rFonts w:ascii="Calibri" w:eastAsia="Calibri" w:hAnsi="Calibri" w:cs="Calibri"/>
                <w:lang w:val="fr-FR"/>
              </w:rPr>
            </w:pPr>
            <w:proofErr w:type="spellStart"/>
            <w:r w:rsidRPr="00835C70">
              <w:rPr>
                <w:rFonts w:ascii="Calibri" w:eastAsia="Calibri" w:hAnsi="Calibri" w:cs="Calibri"/>
                <w:lang w:val="fr-FR"/>
              </w:rPr>
              <w:t>Liq</w:t>
            </w:r>
            <w:proofErr w:type="spellEnd"/>
            <w:r w:rsidRPr="00835C70">
              <w:rPr>
                <w:rFonts w:ascii="Calibri" w:eastAsia="Calibri" w:hAnsi="Calibri" w:cs="Calibri"/>
                <w:lang w:val="fr-FR"/>
              </w:rPr>
              <w:t xml:space="preserve">. 3, Skin </w:t>
            </w:r>
            <w:proofErr w:type="spellStart"/>
            <w:r w:rsidRPr="00835C70">
              <w:rPr>
                <w:rFonts w:ascii="Calibri" w:eastAsia="Calibri" w:hAnsi="Calibri" w:cs="Calibri"/>
                <w:lang w:val="fr-FR"/>
              </w:rPr>
              <w:t>Irrit</w:t>
            </w:r>
            <w:proofErr w:type="spellEnd"/>
            <w:r w:rsidRPr="00835C70">
              <w:rPr>
                <w:rFonts w:ascii="Calibri" w:eastAsia="Calibri" w:hAnsi="Calibri" w:cs="Calibri"/>
                <w:lang w:val="fr-FR"/>
              </w:rPr>
              <w:t>. 2, Skin Sens. 1 H304, H319, H400, H412, H226, H315, H317</w:t>
            </w:r>
          </w:p>
        </w:tc>
      </w:tr>
      <w:tr w:rsidR="00B46CD9" w:rsidRPr="00DD25C6" w14:paraId="001D9D85" w14:textId="77777777" w:rsidTr="00835C70">
        <w:trPr>
          <w:trHeight w:val="853"/>
        </w:trPr>
        <w:tc>
          <w:tcPr>
            <w:tcW w:w="2977" w:type="dxa"/>
          </w:tcPr>
          <w:p w14:paraId="74A3F011" w14:textId="50AA7311" w:rsidR="00B46CD9" w:rsidRPr="00DD25C6" w:rsidRDefault="00B46CD9" w:rsidP="00B46CD9">
            <w:pPr>
              <w:pStyle w:val="TableParagraph"/>
              <w:spacing w:before="41"/>
              <w:rPr>
                <w:rFonts w:ascii="Calibri" w:eastAsia="Calibri" w:hAnsi="Calibri" w:cs="Calibri"/>
                <w:lang w:val="fr-FR"/>
              </w:rPr>
            </w:pPr>
            <w:r w:rsidRPr="00835C70">
              <w:rPr>
                <w:rFonts w:ascii="Calibri" w:eastAsia="Calibri" w:hAnsi="Calibri" w:cs="Calibri"/>
                <w:lang w:val="fr-FR"/>
              </w:rPr>
              <w:t>chromen-2-one (coumarin)</w:t>
            </w:r>
          </w:p>
        </w:tc>
        <w:tc>
          <w:tcPr>
            <w:tcW w:w="3402" w:type="dxa"/>
          </w:tcPr>
          <w:p w14:paraId="46601F48" w14:textId="748CDE68" w:rsidR="00B46CD9" w:rsidRPr="00835C70" w:rsidRDefault="00B46CD9" w:rsidP="00B46CD9">
            <w:pPr>
              <w:pStyle w:val="TableParagraph"/>
              <w:spacing w:before="27"/>
              <w:rPr>
                <w:rFonts w:ascii="Calibri" w:eastAsia="Calibri" w:hAnsi="Calibri" w:cs="Calibri"/>
                <w:lang w:val="fr-FR"/>
              </w:rPr>
            </w:pPr>
            <w:r w:rsidRPr="00835C70">
              <w:rPr>
                <w:rFonts w:ascii="Calibri" w:eastAsia="Calibri" w:hAnsi="Calibri" w:cs="Calibri"/>
                <w:lang w:val="fr-FR"/>
              </w:rPr>
              <w:t>CAS</w:t>
            </w:r>
            <w:r w:rsidR="00835C70">
              <w:rPr>
                <w:rFonts w:ascii="Calibri" w:eastAsia="Calibri" w:hAnsi="Calibri" w:cs="Calibri"/>
                <w:lang w:val="fr-FR"/>
              </w:rPr>
              <w:t> :</w:t>
            </w:r>
            <w:r w:rsidR="00DC7E8B">
              <w:rPr>
                <w:rFonts w:ascii="Calibri" w:eastAsia="Calibri" w:hAnsi="Calibri" w:cs="Calibri"/>
                <w:lang w:val="fr-FR"/>
              </w:rPr>
              <w:t xml:space="preserve"> </w:t>
            </w:r>
            <w:r w:rsidRPr="00835C70">
              <w:rPr>
                <w:rFonts w:ascii="Calibri" w:eastAsia="Calibri" w:hAnsi="Calibri" w:cs="Calibri"/>
                <w:lang w:val="fr-FR"/>
              </w:rPr>
              <w:t>91-64-5</w:t>
            </w:r>
          </w:p>
          <w:p w14:paraId="15EF551E" w14:textId="19C54FF0" w:rsidR="00B46CD9" w:rsidRPr="00835C70" w:rsidRDefault="00B46CD9" w:rsidP="00B46CD9">
            <w:pPr>
              <w:pStyle w:val="TableParagraph"/>
              <w:spacing w:before="27"/>
              <w:rPr>
                <w:rFonts w:ascii="Calibri" w:eastAsia="Calibri" w:hAnsi="Calibri" w:cs="Calibri"/>
                <w:lang w:val="fr-FR"/>
              </w:rPr>
            </w:pPr>
            <w:r w:rsidRPr="00835C70">
              <w:rPr>
                <w:rFonts w:ascii="Calibri" w:eastAsia="Calibri" w:hAnsi="Calibri" w:cs="Calibri"/>
                <w:lang w:val="fr-FR"/>
              </w:rPr>
              <w:t>EINECS</w:t>
            </w:r>
            <w:r w:rsidR="00DC7E8B">
              <w:rPr>
                <w:rFonts w:ascii="Calibri" w:eastAsia="Calibri" w:hAnsi="Calibri" w:cs="Calibri"/>
                <w:lang w:val="fr-FR"/>
              </w:rPr>
              <w:t xml:space="preserve"> : </w:t>
            </w:r>
            <w:r w:rsidRPr="00835C70">
              <w:rPr>
                <w:rFonts w:ascii="Calibri" w:eastAsia="Calibri" w:hAnsi="Calibri" w:cs="Calibri"/>
                <w:lang w:val="fr-FR"/>
              </w:rPr>
              <w:t>202-086-7</w:t>
            </w:r>
          </w:p>
          <w:p w14:paraId="503DC466" w14:textId="5623B1E4" w:rsidR="00B46CD9" w:rsidRPr="00DD25C6" w:rsidRDefault="00B46CD9" w:rsidP="00B46CD9">
            <w:pPr>
              <w:pStyle w:val="TableParagraph"/>
              <w:spacing w:before="27"/>
              <w:rPr>
                <w:rFonts w:ascii="Calibri" w:eastAsia="Calibri" w:hAnsi="Calibri" w:cs="Calibri"/>
                <w:lang w:val="fr-FR"/>
              </w:rPr>
            </w:pPr>
            <w:r w:rsidRPr="00835C70">
              <w:rPr>
                <w:rFonts w:ascii="Calibri" w:eastAsia="Calibri" w:hAnsi="Calibri" w:cs="Calibri"/>
                <w:lang w:val="fr-FR"/>
              </w:rPr>
              <w:t>REACH</w:t>
            </w:r>
            <w:r w:rsidR="00DC7E8B">
              <w:rPr>
                <w:rFonts w:ascii="Calibri" w:eastAsia="Calibri" w:hAnsi="Calibri" w:cs="Calibri"/>
                <w:lang w:val="fr-FR"/>
              </w:rPr>
              <w:t xml:space="preserve"> : </w:t>
            </w:r>
            <w:r w:rsidRPr="00835C70">
              <w:rPr>
                <w:rFonts w:ascii="Calibri" w:eastAsia="Calibri" w:hAnsi="Calibri" w:cs="Calibri"/>
                <w:lang w:val="fr-FR"/>
              </w:rPr>
              <w:t>01-2119943756-26</w:t>
            </w:r>
          </w:p>
        </w:tc>
        <w:tc>
          <w:tcPr>
            <w:tcW w:w="709" w:type="dxa"/>
          </w:tcPr>
          <w:p w14:paraId="6CA45026" w14:textId="3087C679" w:rsidR="00B46CD9" w:rsidRPr="00DD25C6" w:rsidRDefault="00B46CD9" w:rsidP="00B46CD9">
            <w:pPr>
              <w:pStyle w:val="TableParagraph"/>
              <w:spacing w:before="41"/>
              <w:rPr>
                <w:rFonts w:ascii="Calibri" w:eastAsia="Calibri" w:hAnsi="Calibri" w:cs="Calibri"/>
                <w:lang w:val="fr-FR"/>
              </w:rPr>
            </w:pPr>
            <w:r>
              <w:rPr>
                <w:rFonts w:ascii="Calibri" w:eastAsia="Calibri" w:hAnsi="Calibri" w:cs="Calibri"/>
                <w:lang w:val="fr-FR"/>
              </w:rPr>
              <w:t>0,5</w:t>
            </w:r>
          </w:p>
        </w:tc>
        <w:tc>
          <w:tcPr>
            <w:tcW w:w="3827" w:type="dxa"/>
          </w:tcPr>
          <w:p w14:paraId="76A3AC80" w14:textId="375A0EEA" w:rsidR="00B46CD9" w:rsidRPr="00B46CD9" w:rsidRDefault="00B46CD9" w:rsidP="00B46CD9">
            <w:pPr>
              <w:pStyle w:val="TableParagraph"/>
              <w:spacing w:before="46" w:line="288" w:lineRule="auto"/>
              <w:ind w:right="1565"/>
              <w:rPr>
                <w:rFonts w:ascii="Calibri" w:eastAsia="Calibri" w:hAnsi="Calibri" w:cs="Calibri"/>
                <w:lang w:val="fr-FR"/>
              </w:rPr>
            </w:pPr>
            <w:r w:rsidRPr="00835C70">
              <w:rPr>
                <w:rFonts w:ascii="Calibri" w:eastAsia="Calibri" w:hAnsi="Calibri" w:cs="Calibri"/>
                <w:lang w:val="fr-FR"/>
              </w:rPr>
              <w:t xml:space="preserve">Acute </w:t>
            </w:r>
            <w:proofErr w:type="spellStart"/>
            <w:r w:rsidRPr="00835C70">
              <w:rPr>
                <w:rFonts w:ascii="Calibri" w:eastAsia="Calibri" w:hAnsi="Calibri" w:cs="Calibri"/>
                <w:lang w:val="fr-FR"/>
              </w:rPr>
              <w:t>Tox</w:t>
            </w:r>
            <w:proofErr w:type="spellEnd"/>
            <w:r w:rsidRPr="00835C70">
              <w:rPr>
                <w:rFonts w:ascii="Calibri" w:eastAsia="Calibri" w:hAnsi="Calibri" w:cs="Calibri"/>
                <w:lang w:val="fr-FR"/>
              </w:rPr>
              <w:t>. 3, Skin Sens. 1B H301, H317</w:t>
            </w:r>
          </w:p>
        </w:tc>
      </w:tr>
    </w:tbl>
    <w:p w14:paraId="63FB9C00" w14:textId="77777777" w:rsidR="00B84FFD" w:rsidRPr="00DD25C6" w:rsidRDefault="00B84FFD"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Rincer avec précaution à l’eau pendant plusieurs minutes. Enlever les lentilles de contact si la victime en porte et si elles peuvent être facilement enlevées. Continuer à rincer. Si l’irritation oculaire persiste : consulter un médecin. </w:t>
      </w:r>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67D0A88F" w14:textId="77777777" w:rsidR="00B84FFD" w:rsidRDefault="00B84FFD" w:rsidP="00B84FFD">
      <w:pPr>
        <w:spacing w:before="120" w:after="120" w:line="240" w:lineRule="auto"/>
      </w:pPr>
      <w:r w:rsidRPr="00A24B11">
        <w:t xml:space="preserve">Symptômes/effets après contact avec la peau : Irritation. Peut provoquer une allergie cutanée. </w:t>
      </w:r>
    </w:p>
    <w:p w14:paraId="549A17E8" w14:textId="364B5399" w:rsidR="00C410B2" w:rsidRDefault="00C410B2" w:rsidP="00C410B2">
      <w:pPr>
        <w:pStyle w:val="Corpsdetexte"/>
        <w:tabs>
          <w:tab w:val="left" w:pos="3659"/>
        </w:tabs>
        <w:spacing w:line="168" w:lineRule="exact"/>
      </w:pPr>
      <w:r w:rsidRPr="00C410B2">
        <w:rPr>
          <w:rFonts w:ascii="Calibri" w:eastAsia="Calibri" w:hAnsi="Calibri" w:cs="Times New Roman"/>
          <w:sz w:val="22"/>
          <w:szCs w:val="22"/>
        </w:rPr>
        <w:t>Symptômes/effets</w:t>
      </w:r>
      <w:r>
        <w:rPr>
          <w:rFonts w:ascii="Calibri" w:eastAsia="Calibri" w:hAnsi="Calibri" w:cs="Times New Roman"/>
          <w:sz w:val="22"/>
          <w:szCs w:val="22"/>
        </w:rPr>
        <w:t xml:space="preserve"> </w:t>
      </w:r>
      <w:r w:rsidRPr="00C410B2">
        <w:rPr>
          <w:rFonts w:ascii="Calibri" w:eastAsia="Calibri" w:hAnsi="Calibri" w:cs="Times New Roman"/>
          <w:sz w:val="22"/>
          <w:szCs w:val="22"/>
        </w:rPr>
        <w:t>après contact oculaire</w:t>
      </w:r>
      <w:r>
        <w:rPr>
          <w:rFonts w:ascii="Calibri" w:eastAsia="Calibri" w:hAnsi="Calibri" w:cs="Times New Roman"/>
          <w:sz w:val="22"/>
          <w:szCs w:val="22"/>
        </w:rPr>
        <w:t xml:space="preserve"> : </w:t>
      </w:r>
      <w:r w:rsidRPr="00C410B2">
        <w:rPr>
          <w:rFonts w:ascii="Calibri" w:eastAsia="Calibri" w:hAnsi="Calibri" w:cs="Times New Roman"/>
          <w:sz w:val="22"/>
          <w:szCs w:val="22"/>
        </w:rPr>
        <w:t>Irritation des yeux.</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5726AF83" w14:textId="77777777" w:rsidR="0094694F" w:rsidRPr="0094694F" w:rsidRDefault="0094694F" w:rsidP="000C2095">
      <w:pPr>
        <w:pStyle w:val="Paragraphedeliste"/>
        <w:widowControl w:val="0"/>
        <w:numPr>
          <w:ilvl w:val="0"/>
          <w:numId w:val="3"/>
        </w:numPr>
        <w:suppressAutoHyphens w:val="0"/>
        <w:autoSpaceDE w:val="0"/>
        <w:spacing w:after="0" w:line="240" w:lineRule="auto"/>
        <w:ind w:left="142" w:hanging="114"/>
        <w:jc w:val="both"/>
        <w:textAlignment w:val="auto"/>
      </w:pPr>
      <w:r w:rsidRPr="0094694F">
        <w:t>toxicité aiguë</w:t>
      </w:r>
    </w:p>
    <w:p w14:paraId="02280BBC" w14:textId="77777777" w:rsidR="0094694F" w:rsidRPr="0094694F" w:rsidRDefault="0094694F" w:rsidP="0094694F">
      <w:pPr>
        <w:pStyle w:val="Corpsdetexte"/>
        <w:spacing w:before="9"/>
        <w:rPr>
          <w:rFonts w:ascii="Calibri" w:eastAsia="Calibri" w:hAnsi="Calibri" w:cs="Times New Roman"/>
          <w:sz w:val="22"/>
          <w:szCs w:val="22"/>
        </w:rPr>
      </w:pPr>
    </w:p>
    <w:p w14:paraId="3A5FCF44" w14:textId="61114345" w:rsidR="0094694F" w:rsidRDefault="0094694F" w:rsidP="000C2095">
      <w:pPr>
        <w:pStyle w:val="Corpsdetexte"/>
        <w:tabs>
          <w:tab w:val="left" w:pos="2418"/>
          <w:tab w:val="left" w:pos="3647"/>
          <w:tab w:val="left" w:pos="4026"/>
          <w:tab w:val="left" w:pos="4655"/>
        </w:tabs>
        <w:spacing w:line="252" w:lineRule="auto"/>
        <w:ind w:left="709" w:right="4545"/>
        <w:rPr>
          <w:rFonts w:ascii="Calibri" w:eastAsia="Calibri" w:hAnsi="Calibri" w:cs="Times New Roman"/>
          <w:sz w:val="22"/>
          <w:szCs w:val="22"/>
        </w:rPr>
      </w:pP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 xml:space="preserve"> (oral) = Matière non classée (mg/kg) </w:t>
      </w: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ab/>
        <w:t>(dermique)</w:t>
      </w:r>
      <w:r w:rsidRPr="0094694F">
        <w:rPr>
          <w:rFonts w:ascii="Calibri" w:eastAsia="Calibri" w:hAnsi="Calibri" w:cs="Times New Roman"/>
          <w:sz w:val="22"/>
          <w:szCs w:val="22"/>
        </w:rPr>
        <w:tab/>
        <w:t>=</w:t>
      </w:r>
      <w:r w:rsidRPr="0094694F">
        <w:rPr>
          <w:rFonts w:ascii="Calibri" w:eastAsia="Calibri" w:hAnsi="Calibri" w:cs="Times New Roman"/>
          <w:sz w:val="22"/>
          <w:szCs w:val="22"/>
        </w:rPr>
        <w:tab/>
        <w:t>Non</w:t>
      </w:r>
      <w:r w:rsidRPr="0094694F">
        <w:rPr>
          <w:rFonts w:ascii="Calibri" w:eastAsia="Calibri" w:hAnsi="Calibri" w:cs="Times New Roman"/>
          <w:sz w:val="22"/>
          <w:szCs w:val="22"/>
        </w:rPr>
        <w:tab/>
        <w:t>déterminée</w:t>
      </w:r>
      <w:r>
        <w:rPr>
          <w:rFonts w:ascii="Calibri" w:eastAsia="Calibri" w:hAnsi="Calibri" w:cs="Times New Roman"/>
          <w:sz w:val="22"/>
          <w:szCs w:val="22"/>
        </w:rPr>
        <w:t xml:space="preserve"> </w:t>
      </w:r>
      <w:r w:rsidRPr="0094694F">
        <w:rPr>
          <w:rFonts w:ascii="Calibri" w:eastAsia="Calibri" w:hAnsi="Calibri" w:cs="Times New Roman"/>
          <w:sz w:val="22"/>
          <w:szCs w:val="22"/>
        </w:rPr>
        <w:t xml:space="preserve">(mg/kg) </w:t>
      </w:r>
    </w:p>
    <w:p w14:paraId="5556E84A" w14:textId="3FFF25F4" w:rsidR="0094694F" w:rsidRPr="0094694F" w:rsidRDefault="0094694F" w:rsidP="000C2095">
      <w:pPr>
        <w:pStyle w:val="Corpsdetexte"/>
        <w:tabs>
          <w:tab w:val="left" w:pos="2418"/>
          <w:tab w:val="left" w:pos="3647"/>
          <w:tab w:val="left" w:pos="4026"/>
          <w:tab w:val="left" w:pos="4655"/>
          <w:tab w:val="left" w:pos="5917"/>
        </w:tabs>
        <w:spacing w:line="252" w:lineRule="auto"/>
        <w:ind w:left="709" w:right="4545" w:hanging="709"/>
        <w:rPr>
          <w:rFonts w:ascii="Calibri" w:eastAsia="Calibri" w:hAnsi="Calibri" w:cs="Times New Roman"/>
          <w:sz w:val="22"/>
          <w:szCs w:val="22"/>
        </w:rPr>
      </w:pPr>
      <w:proofErr w:type="spellStart"/>
      <w:r w:rsidRPr="0094694F">
        <w:rPr>
          <w:rFonts w:ascii="Calibri" w:eastAsia="Calibri" w:hAnsi="Calibri" w:cs="Times New Roman"/>
          <w:sz w:val="22"/>
          <w:szCs w:val="22"/>
        </w:rPr>
        <w:t>ETAmélange</w:t>
      </w:r>
      <w:proofErr w:type="spellEnd"/>
      <w:r w:rsidRPr="0094694F">
        <w:rPr>
          <w:rFonts w:ascii="Calibri" w:eastAsia="Calibri" w:hAnsi="Calibri" w:cs="Times New Roman"/>
          <w:sz w:val="22"/>
          <w:szCs w:val="22"/>
        </w:rPr>
        <w:t xml:space="preserve"> (</w:t>
      </w:r>
      <w:proofErr w:type="spellStart"/>
      <w:r w:rsidRPr="0094694F">
        <w:rPr>
          <w:rFonts w:ascii="Calibri" w:eastAsia="Calibri" w:hAnsi="Calibri" w:cs="Times New Roman"/>
          <w:sz w:val="22"/>
          <w:szCs w:val="22"/>
        </w:rPr>
        <w:t>inhal</w:t>
      </w:r>
      <w:proofErr w:type="spellEnd"/>
      <w:r w:rsidRPr="0094694F">
        <w:rPr>
          <w:rFonts w:ascii="Calibri" w:eastAsia="Calibri" w:hAnsi="Calibri" w:cs="Times New Roman"/>
          <w:sz w:val="22"/>
          <w:szCs w:val="22"/>
        </w:rPr>
        <w:t>.) = Non déterminée (mg/l/4 h)</w:t>
      </w:r>
    </w:p>
    <w:p w14:paraId="021A332F" w14:textId="77777777" w:rsidR="0094694F" w:rsidRPr="0094694F" w:rsidRDefault="0094694F" w:rsidP="000C2095">
      <w:pPr>
        <w:pStyle w:val="Corpsdetexte"/>
        <w:spacing w:before="9"/>
        <w:rPr>
          <w:rFonts w:ascii="Calibri" w:eastAsia="Calibri" w:hAnsi="Calibri" w:cs="Times New Roman"/>
          <w:sz w:val="22"/>
          <w:szCs w:val="22"/>
        </w:rPr>
      </w:pPr>
    </w:p>
    <w:p w14:paraId="422A4374" w14:textId="6E4E8BF3" w:rsidR="0094694F" w:rsidRPr="0094694F" w:rsidRDefault="0094694F" w:rsidP="000C2095">
      <w:pPr>
        <w:pStyle w:val="Paragraphedeliste"/>
        <w:widowControl w:val="0"/>
        <w:numPr>
          <w:ilvl w:val="0"/>
          <w:numId w:val="3"/>
        </w:numPr>
        <w:tabs>
          <w:tab w:val="left" w:pos="1739"/>
          <w:tab w:val="left" w:pos="3522"/>
        </w:tabs>
        <w:suppressAutoHyphens w:val="0"/>
        <w:autoSpaceDE w:val="0"/>
        <w:spacing w:after="0" w:line="249" w:lineRule="auto"/>
        <w:ind w:left="709" w:right="6140" w:hanging="719"/>
        <w:jc w:val="both"/>
        <w:textAlignment w:val="auto"/>
      </w:pPr>
      <w:r w:rsidRPr="0094694F">
        <w:t>corrosion</w:t>
      </w:r>
      <w:r w:rsidRPr="0094694F">
        <w:tab/>
        <w:t>cutanée/irritation cutanée</w:t>
      </w:r>
      <w:r>
        <w:t xml:space="preserve"> </w:t>
      </w:r>
      <w:r w:rsidRPr="0094694F">
        <w:t>voir section 2</w:t>
      </w:r>
    </w:p>
    <w:p w14:paraId="6A6A8784" w14:textId="77777777" w:rsidR="0094694F" w:rsidRPr="0094694F" w:rsidRDefault="0094694F" w:rsidP="000C2095">
      <w:pPr>
        <w:pStyle w:val="Corpsdetexte"/>
        <w:spacing w:before="6"/>
        <w:rPr>
          <w:rFonts w:ascii="Calibri" w:eastAsia="Calibri" w:hAnsi="Calibri" w:cs="Times New Roman"/>
          <w:sz w:val="22"/>
          <w:szCs w:val="22"/>
        </w:rPr>
      </w:pPr>
    </w:p>
    <w:p w14:paraId="13DDC3A6" w14:textId="565BD9F8" w:rsidR="0094694F" w:rsidRPr="0094694F" w:rsidRDefault="0094694F" w:rsidP="000C2095">
      <w:pPr>
        <w:pStyle w:val="Paragraphedeliste"/>
        <w:widowControl w:val="0"/>
        <w:numPr>
          <w:ilvl w:val="0"/>
          <w:numId w:val="3"/>
        </w:numPr>
        <w:tabs>
          <w:tab w:val="left" w:pos="1739"/>
        </w:tabs>
        <w:suppressAutoHyphens w:val="0"/>
        <w:autoSpaceDE w:val="0"/>
        <w:spacing w:after="0" w:line="249" w:lineRule="auto"/>
        <w:ind w:left="709" w:right="6140" w:hanging="719"/>
        <w:jc w:val="both"/>
        <w:textAlignment w:val="auto"/>
      </w:pPr>
      <w:r w:rsidRPr="0094694F">
        <w:t>lésions oculaires graves/irritation oculaire</w:t>
      </w:r>
      <w:r>
        <w:t xml:space="preserve"> </w:t>
      </w:r>
      <w:r w:rsidRPr="0094694F">
        <w:t>voir section 2</w:t>
      </w:r>
    </w:p>
    <w:p w14:paraId="3DA771F9" w14:textId="77777777" w:rsidR="0094694F" w:rsidRPr="0094694F" w:rsidRDefault="0094694F" w:rsidP="000C2095">
      <w:pPr>
        <w:pStyle w:val="Corpsdetexte"/>
        <w:spacing w:before="6"/>
        <w:rPr>
          <w:rFonts w:ascii="Calibri" w:eastAsia="Calibri" w:hAnsi="Calibri" w:cs="Times New Roman"/>
          <w:sz w:val="22"/>
          <w:szCs w:val="22"/>
        </w:rPr>
      </w:pPr>
    </w:p>
    <w:p w14:paraId="5BCC3FE9" w14:textId="1CC5E021" w:rsidR="0094694F" w:rsidRPr="0094694F" w:rsidRDefault="0094694F" w:rsidP="000C2095">
      <w:pPr>
        <w:pStyle w:val="Paragraphedeliste"/>
        <w:widowControl w:val="0"/>
        <w:numPr>
          <w:ilvl w:val="0"/>
          <w:numId w:val="3"/>
        </w:numPr>
        <w:tabs>
          <w:tab w:val="left" w:pos="1739"/>
        </w:tabs>
        <w:suppressAutoHyphens w:val="0"/>
        <w:autoSpaceDE w:val="0"/>
        <w:spacing w:after="0" w:line="254" w:lineRule="auto"/>
        <w:ind w:left="709" w:right="6140" w:hanging="719"/>
        <w:jc w:val="both"/>
        <w:textAlignment w:val="auto"/>
      </w:pPr>
      <w:r w:rsidRPr="0094694F">
        <w:t>sensibilisation respiratoire ou cutanée</w:t>
      </w:r>
      <w:r>
        <w:t xml:space="preserve"> </w:t>
      </w:r>
      <w:r w:rsidRPr="0094694F">
        <w:t>voir section 2</w:t>
      </w:r>
    </w:p>
    <w:p w14:paraId="45BCC169" w14:textId="77777777" w:rsidR="0094694F" w:rsidRPr="0094694F" w:rsidRDefault="0094694F" w:rsidP="000C2095">
      <w:pPr>
        <w:pStyle w:val="Corpsdetexte"/>
        <w:spacing w:before="1"/>
        <w:rPr>
          <w:rFonts w:ascii="Calibri" w:eastAsia="Calibri" w:hAnsi="Calibri" w:cs="Times New Roman"/>
          <w:sz w:val="22"/>
          <w:szCs w:val="22"/>
        </w:rPr>
      </w:pPr>
    </w:p>
    <w:p w14:paraId="7554A4F8" w14:textId="6E340E14" w:rsidR="0094694F" w:rsidRPr="0094694F" w:rsidRDefault="0094694F" w:rsidP="000C2095">
      <w:pPr>
        <w:pStyle w:val="Paragraphedeliste"/>
        <w:widowControl w:val="0"/>
        <w:numPr>
          <w:ilvl w:val="0"/>
          <w:numId w:val="3"/>
        </w:numPr>
        <w:suppressAutoHyphens w:val="0"/>
        <w:autoSpaceDE w:val="0"/>
        <w:spacing w:after="0" w:line="249" w:lineRule="auto"/>
        <w:ind w:left="0" w:right="6140" w:hanging="10"/>
        <w:jc w:val="both"/>
        <w:textAlignment w:val="auto"/>
      </w:pPr>
      <w:r w:rsidRPr="0094694F">
        <w:t>mutagénicité sur les cellules germinales</w:t>
      </w:r>
      <w:r>
        <w:t xml:space="preserve"> </w:t>
      </w:r>
      <w:r w:rsidRPr="0094694F">
        <w:t>voir section 2</w:t>
      </w:r>
    </w:p>
    <w:p w14:paraId="4B49B767" w14:textId="77777777" w:rsidR="0094694F" w:rsidRPr="0094694F" w:rsidRDefault="0094694F" w:rsidP="000C2095">
      <w:pPr>
        <w:pStyle w:val="Corpsdetexte"/>
        <w:spacing w:before="6"/>
        <w:ind w:left="709"/>
        <w:rPr>
          <w:rFonts w:ascii="Calibri" w:eastAsia="Calibri" w:hAnsi="Calibri" w:cs="Times New Roman"/>
          <w:sz w:val="22"/>
          <w:szCs w:val="22"/>
        </w:rPr>
      </w:pPr>
    </w:p>
    <w:p w14:paraId="660DC741" w14:textId="5E0D0907" w:rsidR="0094694F" w:rsidRPr="0094694F" w:rsidRDefault="0094694F" w:rsidP="000C2095">
      <w:pPr>
        <w:pStyle w:val="Paragraphedeliste"/>
        <w:widowControl w:val="0"/>
        <w:numPr>
          <w:ilvl w:val="0"/>
          <w:numId w:val="3"/>
        </w:numPr>
        <w:suppressAutoHyphens w:val="0"/>
        <w:autoSpaceDE w:val="0"/>
        <w:spacing w:after="0" w:line="240" w:lineRule="auto"/>
        <w:ind w:left="0" w:firstLine="0"/>
        <w:jc w:val="both"/>
        <w:textAlignment w:val="auto"/>
      </w:pPr>
      <w:r w:rsidRPr="0094694F">
        <w:t>cancérogénicité</w:t>
      </w:r>
      <w:r>
        <w:t xml:space="preserve"> </w:t>
      </w:r>
      <w:r w:rsidRPr="0094694F">
        <w:t>voir section 2</w:t>
      </w:r>
    </w:p>
    <w:p w14:paraId="39A1E47A" w14:textId="77777777" w:rsidR="0094694F" w:rsidRPr="0094694F" w:rsidRDefault="0094694F" w:rsidP="0094694F">
      <w:pPr>
        <w:pStyle w:val="Corpsdetexte"/>
        <w:spacing w:before="8"/>
        <w:rPr>
          <w:rFonts w:ascii="Calibri" w:eastAsia="Calibri" w:hAnsi="Calibri" w:cs="Times New Roman"/>
          <w:sz w:val="22"/>
          <w:szCs w:val="22"/>
        </w:rPr>
      </w:pPr>
    </w:p>
    <w:p w14:paraId="12C6EA53" w14:textId="693C0E58" w:rsidR="0094694F" w:rsidRPr="0094694F" w:rsidRDefault="0094694F" w:rsidP="000C2095">
      <w:pPr>
        <w:pStyle w:val="Paragraphedeliste"/>
        <w:widowControl w:val="0"/>
        <w:numPr>
          <w:ilvl w:val="0"/>
          <w:numId w:val="3"/>
        </w:numPr>
        <w:suppressAutoHyphens w:val="0"/>
        <w:autoSpaceDE w:val="0"/>
        <w:spacing w:after="0" w:line="249" w:lineRule="auto"/>
        <w:ind w:left="709" w:right="3945" w:hanging="709"/>
        <w:jc w:val="both"/>
        <w:textAlignment w:val="auto"/>
      </w:pPr>
      <w:r w:rsidRPr="0094694F">
        <w:t>toxicité pour la reproduction</w:t>
      </w:r>
      <w:r>
        <w:t xml:space="preserve"> </w:t>
      </w:r>
      <w:r w:rsidRPr="0094694F">
        <w:t>voir section 2</w:t>
      </w:r>
    </w:p>
    <w:p w14:paraId="741828FF" w14:textId="77777777" w:rsidR="0094694F" w:rsidRPr="0094694F" w:rsidRDefault="0094694F" w:rsidP="0094694F">
      <w:pPr>
        <w:pStyle w:val="Corpsdetexte"/>
        <w:spacing w:before="6"/>
        <w:rPr>
          <w:rFonts w:ascii="Calibri" w:eastAsia="Calibri" w:hAnsi="Calibri" w:cs="Times New Roman"/>
          <w:sz w:val="22"/>
          <w:szCs w:val="22"/>
        </w:rPr>
      </w:pPr>
    </w:p>
    <w:p w14:paraId="5DE9BD57" w14:textId="77777777" w:rsidR="0094694F" w:rsidRPr="0094694F" w:rsidRDefault="0094694F" w:rsidP="00810634">
      <w:pPr>
        <w:pStyle w:val="Paragraphedeliste"/>
        <w:widowControl w:val="0"/>
        <w:numPr>
          <w:ilvl w:val="0"/>
          <w:numId w:val="3"/>
        </w:numPr>
        <w:tabs>
          <w:tab w:val="left" w:pos="1739"/>
        </w:tabs>
        <w:suppressAutoHyphens w:val="0"/>
        <w:autoSpaceDE w:val="0"/>
        <w:spacing w:after="0" w:line="249" w:lineRule="auto"/>
        <w:ind w:left="709" w:right="6139" w:hanging="709"/>
        <w:jc w:val="both"/>
        <w:textAlignment w:val="auto"/>
      </w:pPr>
      <w:r w:rsidRPr="0094694F">
        <w:t>toxicité spécifique pour certains organes cibles (STOT) - exposition unique voir section 2</w:t>
      </w:r>
    </w:p>
    <w:p w14:paraId="6B119270" w14:textId="77777777" w:rsidR="0094694F" w:rsidRPr="0094694F" w:rsidRDefault="0094694F" w:rsidP="00810634">
      <w:pPr>
        <w:pStyle w:val="Paragraphedeliste"/>
        <w:widowControl w:val="0"/>
        <w:numPr>
          <w:ilvl w:val="0"/>
          <w:numId w:val="3"/>
        </w:numPr>
        <w:tabs>
          <w:tab w:val="left" w:pos="1738"/>
          <w:tab w:val="left" w:pos="1739"/>
        </w:tabs>
        <w:suppressAutoHyphens w:val="0"/>
        <w:autoSpaceDE w:val="0"/>
        <w:spacing w:before="7" w:after="0" w:line="249" w:lineRule="auto"/>
        <w:ind w:left="709" w:right="6139" w:hanging="709"/>
        <w:jc w:val="both"/>
        <w:textAlignment w:val="auto"/>
      </w:pPr>
      <w:r w:rsidRPr="0094694F">
        <w:t>toxicité spécifique pour certains organes cibles (STOT) - exposition répétée voir section 2</w:t>
      </w:r>
    </w:p>
    <w:p w14:paraId="0AF1B440" w14:textId="581530DC" w:rsidR="00623EA2" w:rsidRPr="000C2095" w:rsidRDefault="00623EA2" w:rsidP="00810634">
      <w:pPr>
        <w:pStyle w:val="Paragraphedeliste"/>
        <w:widowControl w:val="0"/>
        <w:numPr>
          <w:ilvl w:val="0"/>
          <w:numId w:val="3"/>
        </w:numPr>
        <w:tabs>
          <w:tab w:val="left" w:pos="709"/>
        </w:tabs>
        <w:suppressAutoHyphens w:val="0"/>
        <w:autoSpaceDE w:val="0"/>
        <w:spacing w:before="24" w:after="0" w:line="240" w:lineRule="auto"/>
        <w:ind w:left="1738" w:hanging="1738"/>
        <w:textAlignment w:val="auto"/>
      </w:pPr>
      <w:r w:rsidRPr="000C2095">
        <w:t>danger par aspiration voir section 2</w:t>
      </w:r>
    </w:p>
    <w:p w14:paraId="008F8A72" w14:textId="77777777" w:rsidR="009C0637" w:rsidRDefault="009C0637" w:rsidP="00A62EC8">
      <w:pPr>
        <w:pStyle w:val="Corpsdetexte"/>
        <w:tabs>
          <w:tab w:val="left" w:pos="3964"/>
        </w:tabs>
        <w:spacing w:before="42"/>
        <w:ind w:left="105"/>
        <w:rPr>
          <w:rFonts w:ascii="Calibri" w:eastAsia="Calibri" w:hAnsi="Calibri" w:cs="Times New Roman"/>
          <w:sz w:val="22"/>
          <w:szCs w:val="22"/>
        </w:rPr>
      </w:pPr>
    </w:p>
    <w:p w14:paraId="3D4041FD" w14:textId="77777777" w:rsidR="006F3AD7" w:rsidRDefault="006F3AD7" w:rsidP="00A62EC8">
      <w:pPr>
        <w:pStyle w:val="Corpsdetexte"/>
        <w:tabs>
          <w:tab w:val="left" w:pos="3964"/>
        </w:tabs>
        <w:spacing w:before="42"/>
        <w:ind w:left="105"/>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4197C951" w14:textId="77777777" w:rsidR="003B7D78" w:rsidRDefault="003B7D78" w:rsidP="003B7D78">
      <w:pPr>
        <w:pStyle w:val="Paragraphedeliste"/>
        <w:widowControl w:val="0"/>
        <w:tabs>
          <w:tab w:val="left" w:pos="2447"/>
        </w:tabs>
        <w:suppressAutoHyphens w:val="0"/>
        <w:autoSpaceDE w:val="0"/>
        <w:spacing w:after="0" w:line="249" w:lineRule="auto"/>
        <w:ind w:left="142" w:right="6195"/>
        <w:jc w:val="both"/>
        <w:textAlignment w:val="auto"/>
      </w:pPr>
      <w:r w:rsidRPr="003B7D78">
        <w:t>Propriétés perturbant le système endocrinien: pas de données à ce jour.</w:t>
      </w:r>
    </w:p>
    <w:p w14:paraId="47DB7491" w14:textId="77777777" w:rsidR="003B7D78" w:rsidRPr="003B7D78" w:rsidRDefault="003B7D78" w:rsidP="003B7D78">
      <w:pPr>
        <w:pStyle w:val="Paragraphedeliste"/>
        <w:widowControl w:val="0"/>
        <w:tabs>
          <w:tab w:val="left" w:pos="2447"/>
        </w:tabs>
        <w:suppressAutoHyphens w:val="0"/>
        <w:autoSpaceDE w:val="0"/>
        <w:spacing w:after="0" w:line="249" w:lineRule="auto"/>
        <w:ind w:left="142" w:right="6195"/>
        <w:jc w:val="both"/>
        <w:textAlignment w:val="auto"/>
      </w:pP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77777777" w:rsidR="00B84FFD" w:rsidRPr="005C385C" w:rsidRDefault="00B84FFD" w:rsidP="00B84FFD">
      <w:pPr>
        <w:spacing w:before="120" w:after="120" w:line="240" w:lineRule="auto"/>
      </w:pPr>
      <w:r w:rsidRPr="005C385C">
        <w:t xml:space="preserve">Ecologie - général : Toxique pour les organismes aquatiques, entraîne des effets néfastes à long terme. </w:t>
      </w:r>
    </w:p>
    <w:p w14:paraId="1909FAD3" w14:textId="77777777" w:rsidR="00B84FFD" w:rsidRPr="005C385C" w:rsidRDefault="00B84FFD" w:rsidP="00B84FFD">
      <w:pPr>
        <w:spacing w:before="120" w:after="120" w:line="240" w:lineRule="auto"/>
      </w:pPr>
      <w:r w:rsidRPr="005C385C">
        <w:t xml:space="preserve">Dangers pour le milieu aquatique, à court terme (aiguë) : Non classé </w:t>
      </w:r>
    </w:p>
    <w:p w14:paraId="2EE83BFE" w14:textId="76326AB4" w:rsidR="00B84FFD" w:rsidRPr="005C385C" w:rsidRDefault="00B84FFD" w:rsidP="00B84FFD">
      <w:pPr>
        <w:spacing w:before="120" w:after="120" w:line="240" w:lineRule="auto"/>
      </w:pPr>
      <w:r w:rsidRPr="005C385C">
        <w:t xml:space="preserve">Dangers pour le milieu aquatique, à long terme (chronique) : </w:t>
      </w:r>
      <w:r w:rsidR="00792B91">
        <w:t>Non classé</w:t>
      </w:r>
    </w:p>
    <w:p w14:paraId="1E525E79" w14:textId="77777777" w:rsidR="00B84FFD" w:rsidRPr="00074063" w:rsidRDefault="00B84FFD" w:rsidP="00B84FFD">
      <w:pPr>
        <w:spacing w:before="120" w:after="120" w:line="240" w:lineRule="auto"/>
      </w:pPr>
      <w:r w:rsidRPr="005C385C">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lastRenderedPageBreak/>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lastRenderedPageBreak/>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AAA0D99" w14:textId="39823033" w:rsidR="00B84FFD" w:rsidRPr="00FE2DB9" w:rsidRDefault="00B43F42" w:rsidP="00B84FFD">
      <w:pPr>
        <w:pStyle w:val="Paragraphedeliste"/>
        <w:numPr>
          <w:ilvl w:val="0"/>
          <w:numId w:val="2"/>
        </w:numPr>
        <w:spacing w:before="120" w:after="120" w:line="240" w:lineRule="auto"/>
        <w:rPr>
          <w:rFonts w:cs="Calibri"/>
        </w:rPr>
      </w:pPr>
      <w:r w:rsidRPr="00B43F42">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Pr>
          <w:rFonts w:ascii="Segoe UI" w:hAnsi="Segoe UI" w:cs="Segoe UI"/>
          <w:color w:val="374151"/>
          <w:shd w:val="clear" w:color="auto" w:fill="F7F7F8"/>
        </w:rPr>
        <w:t xml:space="preserve"> </w:t>
      </w:r>
      <w:r w:rsidR="008D08AA" w:rsidRPr="00A75BAB">
        <w:rPr>
          <w:rFonts w:cs="Calibri"/>
        </w:rPr>
        <w:t xml:space="preserve">Toxicité aiguë (par voie orale), catégorie </w:t>
      </w:r>
      <w:r w:rsidR="00810634">
        <w:rPr>
          <w:rFonts w:cs="Calibri"/>
        </w:rPr>
        <w:t>3</w:t>
      </w:r>
      <w:r w:rsidR="008D08AA">
        <w:rPr>
          <w:rFonts w:cs="Calibri"/>
        </w:rPr>
        <w:t>.</w:t>
      </w:r>
    </w:p>
    <w:p w14:paraId="0D9322FA" w14:textId="77777777" w:rsidR="005A509F" w:rsidRDefault="005A509F"/>
    <w:sectPr w:rsidR="005A509F">
      <w:headerReference w:type="default" r:id="rId8"/>
      <w:foot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69E1" w14:textId="77777777" w:rsidR="00714389" w:rsidRDefault="00714389">
      <w:pPr>
        <w:spacing w:after="0" w:line="240" w:lineRule="auto"/>
      </w:pPr>
      <w:r>
        <w:separator/>
      </w:r>
    </w:p>
  </w:endnote>
  <w:endnote w:type="continuationSeparator" w:id="0">
    <w:p w14:paraId="010EEFDD" w14:textId="77777777" w:rsidR="00714389" w:rsidRDefault="007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51CFD8D8" w14:textId="77777777" w:rsidR="008D08AA" w:rsidRDefault="008D08AA">
    <w:pPr>
      <w:pStyle w:val="Pieddepage"/>
    </w:pPr>
  </w:p>
  <w:p w14:paraId="0E066CC7" w14:textId="77777777" w:rsidR="008D08AA" w:rsidRDefault="008D08AA"/>
  <w:p w14:paraId="13003568" w14:textId="77777777" w:rsidR="000C2095" w:rsidRDefault="000C2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A2CB" w14:textId="77777777" w:rsidR="00714389" w:rsidRDefault="00714389">
      <w:pPr>
        <w:spacing w:after="0" w:line="240" w:lineRule="auto"/>
      </w:pPr>
      <w:r>
        <w:separator/>
      </w:r>
    </w:p>
  </w:footnote>
  <w:footnote w:type="continuationSeparator" w:id="0">
    <w:p w14:paraId="5F440D8E" w14:textId="77777777" w:rsidR="00714389" w:rsidRDefault="007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DA89E3E"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366DEA">
      <w:rPr>
        <w:sz w:val="18"/>
        <w:szCs w:val="18"/>
      </w:rPr>
      <w:t>02/10</w:t>
    </w:r>
    <w:r w:rsidR="00B45857">
      <w:rPr>
        <w:sz w:val="18"/>
        <w:szCs w:val="18"/>
      </w:rPr>
      <w:t>/2023</w:t>
    </w:r>
    <w:r>
      <w:rPr>
        <w:sz w:val="18"/>
        <w:szCs w:val="18"/>
      </w:rPr>
      <w:t xml:space="preserve"> Date de révision : </w:t>
    </w:r>
    <w:r w:rsidR="00366DEA">
      <w:rPr>
        <w:sz w:val="18"/>
        <w:szCs w:val="18"/>
      </w:rPr>
      <w:t>02/10</w:t>
    </w:r>
    <w:r>
      <w:rPr>
        <w:sz w:val="18"/>
        <w:szCs w:val="18"/>
      </w:rPr>
      <w:t>/2023 Version : 1.0</w:t>
    </w:r>
  </w:p>
  <w:p w14:paraId="14D0AE84" w14:textId="51018825" w:rsidR="00DA168C" w:rsidRPr="00DA168C" w:rsidRDefault="00366DEA" w:rsidP="00DA168C">
    <w:pPr>
      <w:jc w:val="center"/>
      <w:rPr>
        <w:b/>
        <w:bCs/>
        <w:sz w:val="18"/>
        <w:szCs w:val="18"/>
      </w:rPr>
    </w:pPr>
    <w:r>
      <w:rPr>
        <w:b/>
        <w:bCs/>
        <w:sz w:val="32"/>
        <w:szCs w:val="32"/>
      </w:rPr>
      <w:t>PATE A TARTINER 10</w:t>
    </w:r>
    <w:r w:rsidR="00B45857">
      <w:rPr>
        <w:b/>
        <w:bCs/>
        <w:sz w:val="32"/>
        <w:szCs w:val="32"/>
      </w:rPr>
      <w:t>%</w:t>
    </w:r>
  </w:p>
  <w:p w14:paraId="1ECA559F" w14:textId="77777777" w:rsidR="000C2095" w:rsidRDefault="000C2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9D1135"/>
    <w:multiLevelType w:val="multilevel"/>
    <w:tmpl w:val="8A52FC14"/>
    <w:lvl w:ilvl="0">
      <w:start w:val="11"/>
      <w:numFmt w:val="decimal"/>
      <w:lvlText w:val="%1"/>
      <w:lvlJc w:val="left"/>
      <w:pPr>
        <w:ind w:left="2244" w:hanging="490"/>
        <w:jc w:val="left"/>
      </w:pPr>
      <w:rPr>
        <w:rFonts w:hint="default"/>
        <w:lang w:val="fr-FR" w:eastAsia="en-US" w:bidi="ar-SA"/>
      </w:rPr>
    </w:lvl>
    <w:lvl w:ilvl="1">
      <w:start w:val="1"/>
      <w:numFmt w:val="decimal"/>
      <w:lvlText w:val="%1.%2."/>
      <w:lvlJc w:val="left"/>
      <w:pPr>
        <w:ind w:left="2244" w:hanging="490"/>
        <w:jc w:val="left"/>
      </w:pPr>
      <w:rPr>
        <w:rFonts w:ascii="Arial MT" w:eastAsia="Arial MT" w:hAnsi="Arial MT" w:cs="Arial MT" w:hint="default"/>
        <w:spacing w:val="-16"/>
        <w:w w:val="100"/>
        <w:sz w:val="20"/>
        <w:szCs w:val="20"/>
        <w:lang w:val="fr-FR" w:eastAsia="en-US" w:bidi="ar-SA"/>
      </w:rPr>
    </w:lvl>
    <w:lvl w:ilvl="2">
      <w:start w:val="1"/>
      <w:numFmt w:val="decimal"/>
      <w:lvlText w:val="%1.%2.%3."/>
      <w:lvlJc w:val="left"/>
      <w:pPr>
        <w:ind w:left="2256" w:hanging="696"/>
        <w:jc w:val="left"/>
      </w:pPr>
      <w:rPr>
        <w:rFonts w:ascii="Arial MT" w:eastAsia="Arial MT" w:hAnsi="Arial MT" w:cs="Arial MT" w:hint="default"/>
        <w:spacing w:val="-1"/>
        <w:w w:val="100"/>
        <w:sz w:val="20"/>
        <w:szCs w:val="20"/>
        <w:lang w:val="fr-FR" w:eastAsia="en-US" w:bidi="ar-SA"/>
      </w:rPr>
    </w:lvl>
    <w:lvl w:ilvl="3">
      <w:numFmt w:val="bullet"/>
      <w:lvlText w:val="•"/>
      <w:lvlJc w:val="left"/>
      <w:pPr>
        <w:ind w:left="4218" w:hanging="696"/>
      </w:pPr>
      <w:rPr>
        <w:rFonts w:hint="default"/>
        <w:lang w:val="fr-FR" w:eastAsia="en-US" w:bidi="ar-SA"/>
      </w:rPr>
    </w:lvl>
    <w:lvl w:ilvl="4">
      <w:numFmt w:val="bullet"/>
      <w:lvlText w:val="•"/>
      <w:lvlJc w:val="left"/>
      <w:pPr>
        <w:ind w:left="5208" w:hanging="696"/>
      </w:pPr>
      <w:rPr>
        <w:rFonts w:hint="default"/>
        <w:lang w:val="fr-FR" w:eastAsia="en-US" w:bidi="ar-SA"/>
      </w:rPr>
    </w:lvl>
    <w:lvl w:ilvl="5">
      <w:numFmt w:val="bullet"/>
      <w:lvlText w:val="•"/>
      <w:lvlJc w:val="left"/>
      <w:pPr>
        <w:ind w:left="6197" w:hanging="696"/>
      </w:pPr>
      <w:rPr>
        <w:rFonts w:hint="default"/>
        <w:lang w:val="fr-FR" w:eastAsia="en-US" w:bidi="ar-SA"/>
      </w:rPr>
    </w:lvl>
    <w:lvl w:ilvl="6">
      <w:numFmt w:val="bullet"/>
      <w:lvlText w:val="•"/>
      <w:lvlJc w:val="left"/>
      <w:pPr>
        <w:ind w:left="7186" w:hanging="696"/>
      </w:pPr>
      <w:rPr>
        <w:rFonts w:hint="default"/>
        <w:lang w:val="fr-FR" w:eastAsia="en-US" w:bidi="ar-SA"/>
      </w:rPr>
    </w:lvl>
    <w:lvl w:ilvl="7">
      <w:numFmt w:val="bullet"/>
      <w:lvlText w:val="•"/>
      <w:lvlJc w:val="left"/>
      <w:pPr>
        <w:ind w:left="8176" w:hanging="696"/>
      </w:pPr>
      <w:rPr>
        <w:rFonts w:hint="default"/>
        <w:lang w:val="fr-FR" w:eastAsia="en-US" w:bidi="ar-SA"/>
      </w:rPr>
    </w:lvl>
    <w:lvl w:ilvl="8">
      <w:numFmt w:val="bullet"/>
      <w:lvlText w:val="•"/>
      <w:lvlJc w:val="left"/>
      <w:pPr>
        <w:ind w:left="9165" w:hanging="696"/>
      </w:pPr>
      <w:rPr>
        <w:rFonts w:hint="default"/>
        <w:lang w:val="fr-FR" w:eastAsia="en-US" w:bidi="ar-SA"/>
      </w:rPr>
    </w:lvl>
  </w:abstractNum>
  <w:abstractNum w:abstractNumId="2"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5BE1BEF"/>
    <w:multiLevelType w:val="hybridMultilevel"/>
    <w:tmpl w:val="A6C0AE46"/>
    <w:lvl w:ilvl="0" w:tplc="5F6056E6">
      <w:start w:val="1"/>
      <w:numFmt w:val="lowerLetter"/>
      <w:lvlText w:val="%1)"/>
      <w:lvlJc w:val="left"/>
      <w:pPr>
        <w:ind w:left="1248" w:hanging="234"/>
        <w:jc w:val="left"/>
      </w:pPr>
      <w:rPr>
        <w:rFonts w:ascii="Arial MT" w:eastAsia="Arial MT" w:hAnsi="Arial MT" w:cs="Arial MT" w:hint="default"/>
        <w:spacing w:val="-1"/>
        <w:w w:val="100"/>
        <w:sz w:val="20"/>
        <w:szCs w:val="20"/>
        <w:lang w:val="fr-FR" w:eastAsia="en-US" w:bidi="ar-SA"/>
      </w:rPr>
    </w:lvl>
    <w:lvl w:ilvl="1" w:tplc="251E41E4">
      <w:numFmt w:val="bullet"/>
      <w:lvlText w:val="•"/>
      <w:lvlJc w:val="left"/>
      <w:pPr>
        <w:ind w:left="2230" w:hanging="234"/>
      </w:pPr>
      <w:rPr>
        <w:rFonts w:hint="default"/>
        <w:lang w:val="fr-FR" w:eastAsia="en-US" w:bidi="ar-SA"/>
      </w:rPr>
    </w:lvl>
    <w:lvl w:ilvl="2" w:tplc="1DC2EBEE">
      <w:numFmt w:val="bullet"/>
      <w:lvlText w:val="•"/>
      <w:lvlJc w:val="left"/>
      <w:pPr>
        <w:ind w:left="3220" w:hanging="234"/>
      </w:pPr>
      <w:rPr>
        <w:rFonts w:hint="default"/>
        <w:lang w:val="fr-FR" w:eastAsia="en-US" w:bidi="ar-SA"/>
      </w:rPr>
    </w:lvl>
    <w:lvl w:ilvl="3" w:tplc="9ADC5B9E">
      <w:numFmt w:val="bullet"/>
      <w:lvlText w:val="•"/>
      <w:lvlJc w:val="left"/>
      <w:pPr>
        <w:ind w:left="4211" w:hanging="234"/>
      </w:pPr>
      <w:rPr>
        <w:rFonts w:hint="default"/>
        <w:lang w:val="fr-FR" w:eastAsia="en-US" w:bidi="ar-SA"/>
      </w:rPr>
    </w:lvl>
    <w:lvl w:ilvl="4" w:tplc="38D0EAAA">
      <w:numFmt w:val="bullet"/>
      <w:lvlText w:val="•"/>
      <w:lvlJc w:val="left"/>
      <w:pPr>
        <w:ind w:left="5201" w:hanging="234"/>
      </w:pPr>
      <w:rPr>
        <w:rFonts w:hint="default"/>
        <w:lang w:val="fr-FR" w:eastAsia="en-US" w:bidi="ar-SA"/>
      </w:rPr>
    </w:lvl>
    <w:lvl w:ilvl="5" w:tplc="32901CB0">
      <w:numFmt w:val="bullet"/>
      <w:lvlText w:val="•"/>
      <w:lvlJc w:val="left"/>
      <w:pPr>
        <w:ind w:left="6192" w:hanging="234"/>
      </w:pPr>
      <w:rPr>
        <w:rFonts w:hint="default"/>
        <w:lang w:val="fr-FR" w:eastAsia="en-US" w:bidi="ar-SA"/>
      </w:rPr>
    </w:lvl>
    <w:lvl w:ilvl="6" w:tplc="EB14EF2C">
      <w:numFmt w:val="bullet"/>
      <w:lvlText w:val="•"/>
      <w:lvlJc w:val="left"/>
      <w:pPr>
        <w:ind w:left="7182" w:hanging="234"/>
      </w:pPr>
      <w:rPr>
        <w:rFonts w:hint="default"/>
        <w:lang w:val="fr-FR" w:eastAsia="en-US" w:bidi="ar-SA"/>
      </w:rPr>
    </w:lvl>
    <w:lvl w:ilvl="7" w:tplc="175C7DBA">
      <w:numFmt w:val="bullet"/>
      <w:lvlText w:val="•"/>
      <w:lvlJc w:val="left"/>
      <w:pPr>
        <w:ind w:left="8172" w:hanging="234"/>
      </w:pPr>
      <w:rPr>
        <w:rFonts w:hint="default"/>
        <w:lang w:val="fr-FR" w:eastAsia="en-US" w:bidi="ar-SA"/>
      </w:rPr>
    </w:lvl>
    <w:lvl w:ilvl="8" w:tplc="DCE245E8">
      <w:numFmt w:val="bullet"/>
      <w:lvlText w:val="•"/>
      <w:lvlJc w:val="left"/>
      <w:pPr>
        <w:ind w:left="9163" w:hanging="234"/>
      </w:pPr>
      <w:rPr>
        <w:rFonts w:hint="default"/>
        <w:lang w:val="fr-FR" w:eastAsia="en-US" w:bidi="ar-SA"/>
      </w:rPr>
    </w:lvl>
  </w:abstractNum>
  <w:num w:numId="1" w16cid:durableId="186532223">
    <w:abstractNumId w:val="2"/>
  </w:num>
  <w:num w:numId="2" w16cid:durableId="1661544513">
    <w:abstractNumId w:val="0"/>
  </w:num>
  <w:num w:numId="3" w16cid:durableId="1809665135">
    <w:abstractNumId w:val="3"/>
  </w:num>
  <w:num w:numId="4" w16cid:durableId="143998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3896"/>
    <w:rsid w:val="00004447"/>
    <w:rsid w:val="00017EB6"/>
    <w:rsid w:val="00021885"/>
    <w:rsid w:val="000267FC"/>
    <w:rsid w:val="00040292"/>
    <w:rsid w:val="0005223E"/>
    <w:rsid w:val="00054517"/>
    <w:rsid w:val="0005608A"/>
    <w:rsid w:val="00057EA2"/>
    <w:rsid w:val="00070F1F"/>
    <w:rsid w:val="00082D9C"/>
    <w:rsid w:val="00092F69"/>
    <w:rsid w:val="00096723"/>
    <w:rsid w:val="00096FC5"/>
    <w:rsid w:val="000B0730"/>
    <w:rsid w:val="000C2095"/>
    <w:rsid w:val="000D76E8"/>
    <w:rsid w:val="001013A4"/>
    <w:rsid w:val="001124DF"/>
    <w:rsid w:val="00116085"/>
    <w:rsid w:val="001171E3"/>
    <w:rsid w:val="001177C5"/>
    <w:rsid w:val="0012078D"/>
    <w:rsid w:val="00141992"/>
    <w:rsid w:val="001547D7"/>
    <w:rsid w:val="00180BBD"/>
    <w:rsid w:val="001830DE"/>
    <w:rsid w:val="0019048A"/>
    <w:rsid w:val="001A709E"/>
    <w:rsid w:val="001C03E1"/>
    <w:rsid w:val="001D43F1"/>
    <w:rsid w:val="001F2B86"/>
    <w:rsid w:val="001F2E0B"/>
    <w:rsid w:val="001F5D75"/>
    <w:rsid w:val="00211FF6"/>
    <w:rsid w:val="0022015A"/>
    <w:rsid w:val="00225DFF"/>
    <w:rsid w:val="00245443"/>
    <w:rsid w:val="002454D1"/>
    <w:rsid w:val="00246B9F"/>
    <w:rsid w:val="0025175D"/>
    <w:rsid w:val="00265B98"/>
    <w:rsid w:val="0027552E"/>
    <w:rsid w:val="002848D2"/>
    <w:rsid w:val="002B41A9"/>
    <w:rsid w:val="002C11BB"/>
    <w:rsid w:val="003023D3"/>
    <w:rsid w:val="0030495A"/>
    <w:rsid w:val="00320473"/>
    <w:rsid w:val="00337080"/>
    <w:rsid w:val="00347346"/>
    <w:rsid w:val="00351C69"/>
    <w:rsid w:val="003564CE"/>
    <w:rsid w:val="003626F6"/>
    <w:rsid w:val="00366DEA"/>
    <w:rsid w:val="0037154A"/>
    <w:rsid w:val="00381949"/>
    <w:rsid w:val="0039029E"/>
    <w:rsid w:val="003953C3"/>
    <w:rsid w:val="003B2273"/>
    <w:rsid w:val="003B7D78"/>
    <w:rsid w:val="003D0C90"/>
    <w:rsid w:val="003D7829"/>
    <w:rsid w:val="003F7E11"/>
    <w:rsid w:val="00421E04"/>
    <w:rsid w:val="00436F5E"/>
    <w:rsid w:val="00441A6B"/>
    <w:rsid w:val="00443B50"/>
    <w:rsid w:val="00444F03"/>
    <w:rsid w:val="00450133"/>
    <w:rsid w:val="004558C8"/>
    <w:rsid w:val="00460669"/>
    <w:rsid w:val="00461B2C"/>
    <w:rsid w:val="00474B4A"/>
    <w:rsid w:val="004A67A3"/>
    <w:rsid w:val="004C1A04"/>
    <w:rsid w:val="004D2004"/>
    <w:rsid w:val="004F3675"/>
    <w:rsid w:val="00512042"/>
    <w:rsid w:val="0052181C"/>
    <w:rsid w:val="005252C2"/>
    <w:rsid w:val="00526829"/>
    <w:rsid w:val="00526DEC"/>
    <w:rsid w:val="00527E22"/>
    <w:rsid w:val="005520C5"/>
    <w:rsid w:val="00553811"/>
    <w:rsid w:val="00570BEC"/>
    <w:rsid w:val="005A509F"/>
    <w:rsid w:val="005A72F1"/>
    <w:rsid w:val="005B15B9"/>
    <w:rsid w:val="005C385C"/>
    <w:rsid w:val="005F652A"/>
    <w:rsid w:val="00623984"/>
    <w:rsid w:val="00623EA2"/>
    <w:rsid w:val="00640CB0"/>
    <w:rsid w:val="0064388C"/>
    <w:rsid w:val="00650769"/>
    <w:rsid w:val="00660696"/>
    <w:rsid w:val="0068110C"/>
    <w:rsid w:val="006827D4"/>
    <w:rsid w:val="006A09DF"/>
    <w:rsid w:val="006A62B4"/>
    <w:rsid w:val="006B5868"/>
    <w:rsid w:val="006D12A4"/>
    <w:rsid w:val="006E2543"/>
    <w:rsid w:val="006F3AD7"/>
    <w:rsid w:val="006F528C"/>
    <w:rsid w:val="00714389"/>
    <w:rsid w:val="00715EEB"/>
    <w:rsid w:val="00717757"/>
    <w:rsid w:val="00725CA4"/>
    <w:rsid w:val="00732D39"/>
    <w:rsid w:val="00742DAA"/>
    <w:rsid w:val="00743B37"/>
    <w:rsid w:val="00757D38"/>
    <w:rsid w:val="00767A1D"/>
    <w:rsid w:val="0077069D"/>
    <w:rsid w:val="00774869"/>
    <w:rsid w:val="00780B72"/>
    <w:rsid w:val="00792B91"/>
    <w:rsid w:val="00794A83"/>
    <w:rsid w:val="007A6E55"/>
    <w:rsid w:val="007C0923"/>
    <w:rsid w:val="007D0E3C"/>
    <w:rsid w:val="007D5382"/>
    <w:rsid w:val="007D5E24"/>
    <w:rsid w:val="007D7EBA"/>
    <w:rsid w:val="007E0F36"/>
    <w:rsid w:val="00810634"/>
    <w:rsid w:val="00817DBE"/>
    <w:rsid w:val="0082065C"/>
    <w:rsid w:val="00835C70"/>
    <w:rsid w:val="008419DD"/>
    <w:rsid w:val="008447E1"/>
    <w:rsid w:val="00845BEB"/>
    <w:rsid w:val="00857BC9"/>
    <w:rsid w:val="008A2FDE"/>
    <w:rsid w:val="008C2ABB"/>
    <w:rsid w:val="008C3546"/>
    <w:rsid w:val="008C53A6"/>
    <w:rsid w:val="008D08AA"/>
    <w:rsid w:val="008D090E"/>
    <w:rsid w:val="00914024"/>
    <w:rsid w:val="00922173"/>
    <w:rsid w:val="00934A0F"/>
    <w:rsid w:val="009422C9"/>
    <w:rsid w:val="0094301D"/>
    <w:rsid w:val="0094694F"/>
    <w:rsid w:val="009477FB"/>
    <w:rsid w:val="00951B46"/>
    <w:rsid w:val="00957F7F"/>
    <w:rsid w:val="00963A9C"/>
    <w:rsid w:val="00981A1C"/>
    <w:rsid w:val="0099637E"/>
    <w:rsid w:val="00996E8C"/>
    <w:rsid w:val="009A237D"/>
    <w:rsid w:val="009B5901"/>
    <w:rsid w:val="009B5AC1"/>
    <w:rsid w:val="009C0637"/>
    <w:rsid w:val="009C22CB"/>
    <w:rsid w:val="009E3307"/>
    <w:rsid w:val="009F12BD"/>
    <w:rsid w:val="009F5751"/>
    <w:rsid w:val="00A1223A"/>
    <w:rsid w:val="00A14470"/>
    <w:rsid w:val="00A21C38"/>
    <w:rsid w:val="00A24B11"/>
    <w:rsid w:val="00A429DF"/>
    <w:rsid w:val="00A51E67"/>
    <w:rsid w:val="00A538C6"/>
    <w:rsid w:val="00A56828"/>
    <w:rsid w:val="00A60CAE"/>
    <w:rsid w:val="00A62EC8"/>
    <w:rsid w:val="00A63DA6"/>
    <w:rsid w:val="00A73AA9"/>
    <w:rsid w:val="00A73D59"/>
    <w:rsid w:val="00A744B1"/>
    <w:rsid w:val="00A839E1"/>
    <w:rsid w:val="00A911DD"/>
    <w:rsid w:val="00A918A4"/>
    <w:rsid w:val="00A93866"/>
    <w:rsid w:val="00AB3A56"/>
    <w:rsid w:val="00AC3CD9"/>
    <w:rsid w:val="00AD0A3E"/>
    <w:rsid w:val="00AD73C2"/>
    <w:rsid w:val="00B017B0"/>
    <w:rsid w:val="00B044D6"/>
    <w:rsid w:val="00B21956"/>
    <w:rsid w:val="00B25055"/>
    <w:rsid w:val="00B25E16"/>
    <w:rsid w:val="00B43F42"/>
    <w:rsid w:val="00B44035"/>
    <w:rsid w:val="00B45857"/>
    <w:rsid w:val="00B46CD9"/>
    <w:rsid w:val="00B52788"/>
    <w:rsid w:val="00B800BA"/>
    <w:rsid w:val="00B84FFD"/>
    <w:rsid w:val="00BA0976"/>
    <w:rsid w:val="00BA34F2"/>
    <w:rsid w:val="00BA4127"/>
    <w:rsid w:val="00BA6573"/>
    <w:rsid w:val="00BC7327"/>
    <w:rsid w:val="00BE12BA"/>
    <w:rsid w:val="00BE3ABE"/>
    <w:rsid w:val="00C14CA8"/>
    <w:rsid w:val="00C25613"/>
    <w:rsid w:val="00C40606"/>
    <w:rsid w:val="00C410B2"/>
    <w:rsid w:val="00C63E30"/>
    <w:rsid w:val="00C66BC4"/>
    <w:rsid w:val="00C83323"/>
    <w:rsid w:val="00C85455"/>
    <w:rsid w:val="00C90548"/>
    <w:rsid w:val="00CB15DA"/>
    <w:rsid w:val="00CB4237"/>
    <w:rsid w:val="00CB48FA"/>
    <w:rsid w:val="00CC4420"/>
    <w:rsid w:val="00CD0135"/>
    <w:rsid w:val="00CE595B"/>
    <w:rsid w:val="00CF5F96"/>
    <w:rsid w:val="00D011A0"/>
    <w:rsid w:val="00D12C4D"/>
    <w:rsid w:val="00D31444"/>
    <w:rsid w:val="00D57DF9"/>
    <w:rsid w:val="00D627CA"/>
    <w:rsid w:val="00D66376"/>
    <w:rsid w:val="00D769DB"/>
    <w:rsid w:val="00D8257D"/>
    <w:rsid w:val="00DA168C"/>
    <w:rsid w:val="00DA2C7F"/>
    <w:rsid w:val="00DB2FAA"/>
    <w:rsid w:val="00DC6F2E"/>
    <w:rsid w:val="00DC7E8B"/>
    <w:rsid w:val="00DD2165"/>
    <w:rsid w:val="00DD25C6"/>
    <w:rsid w:val="00DD412F"/>
    <w:rsid w:val="00DF2AFC"/>
    <w:rsid w:val="00E06FB3"/>
    <w:rsid w:val="00E53EBD"/>
    <w:rsid w:val="00E556C7"/>
    <w:rsid w:val="00E73532"/>
    <w:rsid w:val="00E77728"/>
    <w:rsid w:val="00E832B0"/>
    <w:rsid w:val="00EA098A"/>
    <w:rsid w:val="00EA76AA"/>
    <w:rsid w:val="00EC120C"/>
    <w:rsid w:val="00EE036A"/>
    <w:rsid w:val="00EF3C01"/>
    <w:rsid w:val="00F019F9"/>
    <w:rsid w:val="00F12229"/>
    <w:rsid w:val="00F36113"/>
    <w:rsid w:val="00F42DF6"/>
    <w:rsid w:val="00F509C3"/>
    <w:rsid w:val="00F5508F"/>
    <w:rsid w:val="00F651C6"/>
    <w:rsid w:val="00F92D73"/>
    <w:rsid w:val="00FA338E"/>
    <w:rsid w:val="00FB18EA"/>
    <w:rsid w:val="00FC2612"/>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1850</Words>
  <Characters>10180</Characters>
  <Application>Microsoft Office Word</Application>
  <DocSecurity>0</DocSecurity>
  <Lines>84</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257</cp:revision>
  <dcterms:created xsi:type="dcterms:W3CDTF">2023-08-01T09:04:00Z</dcterms:created>
  <dcterms:modified xsi:type="dcterms:W3CDTF">2023-10-02T14:42:00Z</dcterms:modified>
</cp:coreProperties>
</file>