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36EEDAF7" w:rsidR="00B84FFD" w:rsidRDefault="00B84FFD" w:rsidP="00141466">
            <w:pPr>
              <w:spacing w:after="120"/>
              <w:rPr>
                <w:rFonts w:cs="Calibri"/>
              </w:rPr>
            </w:pPr>
            <w:r>
              <w:rPr>
                <w:rFonts w:cs="Calibri"/>
              </w:rPr>
              <w:t xml:space="preserve">: </w:t>
            </w:r>
            <w:r w:rsidR="0070303E">
              <w:rPr>
                <w:rFonts w:cs="Calibri"/>
              </w:rPr>
              <w:t>SAPIN DE NOËL</w:t>
            </w:r>
            <w:r w:rsidR="00F32420">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4D771A32" w14:textId="2948F64D" w:rsidR="0046786C" w:rsidRDefault="0046786C"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7E377A71" w:rsidR="00B84FFD" w:rsidRPr="006E3F73" w:rsidRDefault="009143BC" w:rsidP="00AE2081">
            <w:pPr>
              <w:rPr>
                <w:rFonts w:cs="Calibri"/>
                <w:sz w:val="22"/>
                <w:szCs w:val="22"/>
                <w:lang w:val="fr-FR" w:eastAsia="en-US"/>
              </w:rPr>
            </w:pPr>
            <w:r w:rsidRPr="009143BC">
              <w:rPr>
                <w:rFonts w:cs="Calibri"/>
                <w:sz w:val="22"/>
                <w:szCs w:val="22"/>
                <w:lang w:val="fr-FR" w:eastAsia="en-US"/>
              </w:rPr>
              <w:t>2,6,6-Trimethylbicyclo[3.1.1]hept-2-ene</w:t>
            </w:r>
            <w:r w:rsidR="00390851" w:rsidRPr="0070303E">
              <w:rPr>
                <w:rFonts w:cs="Calibri"/>
                <w:sz w:val="22"/>
                <w:szCs w:val="22"/>
                <w:lang w:val="fr-FR" w:eastAsia="en-US"/>
              </w:rPr>
              <w:t>.</w:t>
            </w:r>
            <w:r w:rsidR="00904281" w:rsidRPr="0070303E">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153BD145" w:rsidR="00CC733D"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Grid"/>
        <w:tblW w:w="10489" w:type="dxa"/>
        <w:tblInd w:w="6" w:type="dxa"/>
        <w:tblCellMar>
          <w:top w:w="45" w:type="dxa"/>
          <w:left w:w="56" w:type="dxa"/>
          <w:right w:w="95" w:type="dxa"/>
        </w:tblCellMar>
        <w:tblLook w:val="04A0" w:firstRow="1" w:lastRow="0" w:firstColumn="1" w:lastColumn="0" w:noHBand="0" w:noVBand="1"/>
      </w:tblPr>
      <w:tblGrid>
        <w:gridCol w:w="3970"/>
        <w:gridCol w:w="2268"/>
        <w:gridCol w:w="1133"/>
        <w:gridCol w:w="3118"/>
      </w:tblGrid>
      <w:tr w:rsidR="009143BC" w14:paraId="4693DAD4" w14:textId="77777777" w:rsidTr="009143BC">
        <w:trPr>
          <w:trHeight w:val="576"/>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6D6075B6" w14:textId="77777777" w:rsidR="009143BC" w:rsidRDefault="009143BC" w:rsidP="00A32D44">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890AFF2" w14:textId="77777777" w:rsidR="009143BC" w:rsidRDefault="009143BC" w:rsidP="00A32D44">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1BA8EE2" w14:textId="77777777" w:rsidR="009143BC" w:rsidRDefault="009143BC" w:rsidP="00A32D44">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D08683D" w14:textId="77777777" w:rsidR="009143BC" w:rsidRDefault="009143BC" w:rsidP="00A32D44">
            <w:pPr>
              <w:spacing w:line="259" w:lineRule="auto"/>
              <w:ind w:left="1"/>
            </w:pPr>
            <w:r>
              <w:rPr>
                <w:b/>
                <w:color w:val="0070C0"/>
                <w:sz w:val="18"/>
              </w:rPr>
              <w:t xml:space="preserve">Classification selon le règlement (CE) N° 1272/2008 [CLP] </w:t>
            </w:r>
          </w:p>
        </w:tc>
      </w:tr>
      <w:tr w:rsidR="009143BC" w14:paraId="5EE6D94E" w14:textId="77777777" w:rsidTr="009143BC">
        <w:trPr>
          <w:trHeight w:val="785"/>
        </w:trPr>
        <w:tc>
          <w:tcPr>
            <w:tcW w:w="3970" w:type="dxa"/>
            <w:tcBorders>
              <w:top w:val="single" w:sz="4" w:space="0" w:color="0070C0"/>
              <w:left w:val="single" w:sz="4" w:space="0" w:color="0070C0"/>
              <w:bottom w:val="single" w:sz="4" w:space="0" w:color="0070C0"/>
              <w:right w:val="single" w:sz="4" w:space="0" w:color="0070C0"/>
            </w:tcBorders>
          </w:tcPr>
          <w:p w14:paraId="03D985AA" w14:textId="77777777" w:rsidR="009143BC" w:rsidRPr="004D3757" w:rsidRDefault="009143BC" w:rsidP="00A32D44">
            <w:pPr>
              <w:spacing w:line="259" w:lineRule="auto"/>
              <w:rPr>
                <w:lang w:val="en-US"/>
              </w:rPr>
            </w:pPr>
            <w:r w:rsidRPr="004D3757">
              <w:rPr>
                <w:lang w:val="en-US"/>
              </w:rPr>
              <w:t xml:space="preserve">(3R-(3a,3ab,7b,8aa))-2,3,4,7,8,8a-Hexahydro-3,6,8,8tetramethyl-1H-3a,7-methanoazulene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4AE98CD8" w14:textId="77777777" w:rsidR="009143BC" w:rsidRDefault="009143BC" w:rsidP="009143BC">
            <w:pPr>
              <w:spacing w:line="259" w:lineRule="auto"/>
              <w:ind w:left="1" w:right="60"/>
            </w:pPr>
            <w:r>
              <w:t xml:space="preserve">N° CAS: 469-61-4 N° CE: 207-418-4 </w:t>
            </w:r>
          </w:p>
        </w:tc>
        <w:tc>
          <w:tcPr>
            <w:tcW w:w="1133" w:type="dxa"/>
            <w:tcBorders>
              <w:top w:val="single" w:sz="4" w:space="0" w:color="0070C0"/>
              <w:left w:val="single" w:sz="4" w:space="0" w:color="0070C0"/>
              <w:bottom w:val="single" w:sz="4" w:space="0" w:color="0070C0"/>
              <w:right w:val="single" w:sz="4" w:space="0" w:color="0070C0"/>
            </w:tcBorders>
          </w:tcPr>
          <w:p w14:paraId="7CCD1C3F" w14:textId="1CC99A16" w:rsidR="009143BC" w:rsidRDefault="009143BC" w:rsidP="00A32D44">
            <w:pPr>
              <w:spacing w:line="259" w:lineRule="auto"/>
              <w:ind w:left="1"/>
            </w:pPr>
            <w:r>
              <w:t>0,49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63C19EA9" w14:textId="77777777" w:rsidR="009143BC" w:rsidRPr="004D3757" w:rsidRDefault="009143BC" w:rsidP="00A32D44">
            <w:pPr>
              <w:spacing w:after="21" w:line="259" w:lineRule="auto"/>
              <w:ind w:left="1"/>
              <w:rPr>
                <w:lang w:val="en-US"/>
              </w:rPr>
            </w:pPr>
            <w:r w:rsidRPr="004D3757">
              <w:rPr>
                <w:lang w:val="en-US"/>
              </w:rPr>
              <w:t xml:space="preserve">Asp. Tox. 1, H304 </w:t>
            </w:r>
          </w:p>
          <w:p w14:paraId="15F0AA50" w14:textId="77777777" w:rsidR="009143BC" w:rsidRPr="004D3757" w:rsidRDefault="009143BC" w:rsidP="00A32D44">
            <w:pPr>
              <w:spacing w:after="21" w:line="259" w:lineRule="auto"/>
              <w:ind w:left="1"/>
              <w:rPr>
                <w:lang w:val="en-US"/>
              </w:rPr>
            </w:pPr>
            <w:r w:rsidRPr="004D3757">
              <w:rPr>
                <w:lang w:val="en-US"/>
              </w:rPr>
              <w:t xml:space="preserve">Aquatic Acute 1, H400 (M=10) </w:t>
            </w:r>
          </w:p>
          <w:p w14:paraId="4CC28EA3" w14:textId="77777777" w:rsidR="009143BC" w:rsidRDefault="009143BC" w:rsidP="00A32D44">
            <w:pPr>
              <w:spacing w:line="259" w:lineRule="auto"/>
              <w:ind w:left="1"/>
            </w:pPr>
            <w:proofErr w:type="spellStart"/>
            <w:r>
              <w:t>Aquatic</w:t>
            </w:r>
            <w:proofErr w:type="spellEnd"/>
            <w:r>
              <w:t xml:space="preserve"> </w:t>
            </w:r>
            <w:proofErr w:type="spellStart"/>
            <w:r>
              <w:t>Chronic</w:t>
            </w:r>
            <w:proofErr w:type="spellEnd"/>
            <w:r>
              <w:t xml:space="preserve"> 1, H410 </w:t>
            </w:r>
          </w:p>
        </w:tc>
      </w:tr>
      <w:tr w:rsidR="009143BC" w:rsidRPr="009143BC" w14:paraId="6B586C4A" w14:textId="77777777" w:rsidTr="009143BC">
        <w:tblPrEx>
          <w:tblCellMar>
            <w:right w:w="101" w:type="dxa"/>
          </w:tblCellMar>
        </w:tblPrEx>
        <w:trPr>
          <w:trHeight w:val="1693"/>
        </w:trPr>
        <w:tc>
          <w:tcPr>
            <w:tcW w:w="3970" w:type="dxa"/>
            <w:tcBorders>
              <w:top w:val="single" w:sz="4" w:space="0" w:color="0070C0"/>
              <w:left w:val="single" w:sz="4" w:space="0" w:color="0070C0"/>
              <w:bottom w:val="single" w:sz="4" w:space="0" w:color="0070C0"/>
              <w:right w:val="single" w:sz="4" w:space="0" w:color="0070C0"/>
            </w:tcBorders>
          </w:tcPr>
          <w:p w14:paraId="7851CA17" w14:textId="77777777" w:rsidR="009143BC" w:rsidRDefault="009143BC" w:rsidP="00A32D44">
            <w:pPr>
              <w:spacing w:line="259" w:lineRule="auto"/>
            </w:pPr>
            <w:r>
              <w:t xml:space="preserve">2,6,6-Trimethylbicyclo[3.1.1]hept-2-ene </w:t>
            </w:r>
          </w:p>
        </w:tc>
        <w:tc>
          <w:tcPr>
            <w:tcW w:w="2268" w:type="dxa"/>
            <w:tcBorders>
              <w:top w:val="single" w:sz="4" w:space="0" w:color="0070C0"/>
              <w:left w:val="single" w:sz="4" w:space="0" w:color="0070C0"/>
              <w:bottom w:val="single" w:sz="4" w:space="0" w:color="0070C0"/>
              <w:right w:val="single" w:sz="4" w:space="0" w:color="0070C0"/>
            </w:tcBorders>
          </w:tcPr>
          <w:p w14:paraId="74C2BD2D" w14:textId="77777777" w:rsidR="009143BC" w:rsidRDefault="009143BC" w:rsidP="00A32D44">
            <w:pPr>
              <w:spacing w:after="21" w:line="259" w:lineRule="auto"/>
              <w:ind w:left="1"/>
            </w:pPr>
            <w:r>
              <w:t xml:space="preserve">N° CAS: 80-56-8 </w:t>
            </w:r>
          </w:p>
          <w:p w14:paraId="6DE06C0B" w14:textId="77777777" w:rsidR="009143BC" w:rsidRDefault="009143BC" w:rsidP="00A32D44">
            <w:pPr>
              <w:spacing w:after="21" w:line="259" w:lineRule="auto"/>
              <w:ind w:left="1"/>
            </w:pPr>
            <w:r>
              <w:t xml:space="preserve">N° CE: 201-291-9 </w:t>
            </w:r>
          </w:p>
          <w:p w14:paraId="559DD635" w14:textId="77777777" w:rsidR="009143BC" w:rsidRDefault="009143BC" w:rsidP="00A32D44">
            <w:pPr>
              <w:spacing w:line="259" w:lineRule="auto"/>
              <w:ind w:left="1"/>
            </w:pPr>
            <w:r>
              <w:t xml:space="preserve">N° REACH: 01-211997951916 </w:t>
            </w:r>
          </w:p>
        </w:tc>
        <w:tc>
          <w:tcPr>
            <w:tcW w:w="1133" w:type="dxa"/>
            <w:tcBorders>
              <w:top w:val="single" w:sz="4" w:space="0" w:color="0070C0"/>
              <w:left w:val="single" w:sz="4" w:space="0" w:color="0070C0"/>
              <w:bottom w:val="single" w:sz="4" w:space="0" w:color="0070C0"/>
              <w:right w:val="single" w:sz="4" w:space="0" w:color="0070C0"/>
            </w:tcBorders>
          </w:tcPr>
          <w:p w14:paraId="232FA4F8" w14:textId="582F47A7" w:rsidR="009143BC" w:rsidRDefault="009143BC" w:rsidP="00A32D44">
            <w:pPr>
              <w:spacing w:line="259" w:lineRule="auto"/>
              <w:ind w:left="1"/>
            </w:pPr>
            <w:r>
              <w:t>0,49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75D87F47" w14:textId="77777777" w:rsidR="009143BC" w:rsidRDefault="009143BC" w:rsidP="00A32D44">
            <w:pPr>
              <w:spacing w:after="21" w:line="259" w:lineRule="auto"/>
              <w:ind w:left="1"/>
            </w:pPr>
            <w:proofErr w:type="spellStart"/>
            <w:r>
              <w:t>Flam</w:t>
            </w:r>
            <w:proofErr w:type="spellEnd"/>
            <w:r>
              <w:t xml:space="preserve">. </w:t>
            </w:r>
            <w:proofErr w:type="spellStart"/>
            <w:r>
              <w:t>Liq</w:t>
            </w:r>
            <w:proofErr w:type="spellEnd"/>
            <w:r>
              <w:t xml:space="preserve">. 3, H226 </w:t>
            </w:r>
          </w:p>
          <w:p w14:paraId="0D97C80C" w14:textId="77777777" w:rsidR="009143BC" w:rsidRDefault="009143BC" w:rsidP="00A32D44">
            <w:pPr>
              <w:spacing w:after="21" w:line="259" w:lineRule="auto"/>
              <w:ind w:left="1"/>
            </w:pPr>
            <w:r>
              <w:t xml:space="preserve">Acute </w:t>
            </w:r>
            <w:proofErr w:type="spellStart"/>
            <w:r>
              <w:t>Tox</w:t>
            </w:r>
            <w:proofErr w:type="spellEnd"/>
            <w:r>
              <w:t xml:space="preserve">. 4 (par voie orale), H302 </w:t>
            </w:r>
          </w:p>
          <w:p w14:paraId="12E23493" w14:textId="77777777" w:rsidR="009143BC" w:rsidRDefault="009143BC" w:rsidP="00A32D44">
            <w:pPr>
              <w:spacing w:after="21" w:line="259" w:lineRule="auto"/>
              <w:ind w:left="1"/>
            </w:pPr>
            <w:r>
              <w:t xml:space="preserve">(ATE=500 mg/kg de poids corporel) </w:t>
            </w:r>
          </w:p>
          <w:p w14:paraId="0B07B86F" w14:textId="77777777" w:rsidR="009143BC" w:rsidRDefault="009143BC" w:rsidP="00A32D44">
            <w:pPr>
              <w:spacing w:after="21" w:line="259" w:lineRule="auto"/>
              <w:ind w:left="1"/>
            </w:pPr>
            <w:r>
              <w:t xml:space="preserve">Skin </w:t>
            </w:r>
            <w:proofErr w:type="spellStart"/>
            <w:r>
              <w:t>Irrit</w:t>
            </w:r>
            <w:proofErr w:type="spellEnd"/>
            <w:r>
              <w:t xml:space="preserve">. 2, H315 </w:t>
            </w:r>
          </w:p>
          <w:p w14:paraId="423B234F" w14:textId="77777777" w:rsidR="009143BC" w:rsidRDefault="009143BC" w:rsidP="00A32D44">
            <w:pPr>
              <w:spacing w:after="21" w:line="259" w:lineRule="auto"/>
              <w:ind w:left="1"/>
            </w:pPr>
            <w:r>
              <w:t xml:space="preserve">Skin Sens. 1B, H317 </w:t>
            </w:r>
          </w:p>
          <w:p w14:paraId="71C6753F" w14:textId="77777777" w:rsidR="009143BC" w:rsidRPr="009143BC" w:rsidRDefault="009143BC" w:rsidP="00A32D44">
            <w:pPr>
              <w:spacing w:after="21" w:line="259" w:lineRule="auto"/>
              <w:ind w:left="1"/>
              <w:rPr>
                <w:lang w:val="en-US"/>
              </w:rPr>
            </w:pPr>
            <w:r w:rsidRPr="009143BC">
              <w:rPr>
                <w:lang w:val="en-US"/>
              </w:rPr>
              <w:t xml:space="preserve">Asp. Tox. 1, H304 </w:t>
            </w:r>
          </w:p>
          <w:p w14:paraId="658CF323" w14:textId="77777777" w:rsidR="009143BC" w:rsidRPr="009143BC" w:rsidRDefault="009143BC" w:rsidP="00A32D44">
            <w:pPr>
              <w:spacing w:line="259" w:lineRule="auto"/>
              <w:ind w:left="1"/>
              <w:rPr>
                <w:lang w:val="en-US"/>
              </w:rPr>
            </w:pPr>
            <w:r w:rsidRPr="009143BC">
              <w:rPr>
                <w:lang w:val="en-US"/>
              </w:rPr>
              <w:t xml:space="preserve">Aquatic Chronic 1, H410 </w:t>
            </w:r>
          </w:p>
        </w:tc>
      </w:tr>
    </w:tbl>
    <w:p w14:paraId="5D5B29AD" w14:textId="77777777" w:rsidR="00842C6E" w:rsidRPr="008A6BD3" w:rsidRDefault="00842C6E" w:rsidP="00B84FFD">
      <w:pPr>
        <w:spacing w:before="120" w:after="120" w:line="240" w:lineRule="auto"/>
        <w:rPr>
          <w:rFonts w:cs="Calibri"/>
          <w:sz w:val="20"/>
          <w:szCs w:val="20"/>
          <w:lang w:val="en-US"/>
        </w:rPr>
      </w:pPr>
    </w:p>
    <w:p w14:paraId="20AFB066" w14:textId="77777777" w:rsidR="00364E68" w:rsidRPr="008A6BD3"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lastRenderedPageBreak/>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17AF48D6"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AC321F" w:rsidRPr="001E428B">
        <w:rPr>
          <w:rFonts w:ascii="Calibri" w:eastAsia="Calibri" w:hAnsi="Calibri" w:cs="Times New Roman"/>
          <w:sz w:val="22"/>
          <w:szCs w:val="22"/>
        </w:rPr>
        <w:t>Aucun(es) dans des conditions normales.</w:t>
      </w:r>
    </w:p>
    <w:p w14:paraId="43ADF08A" w14:textId="07B4E003"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AC321F" w:rsidRPr="001E428B">
        <w:rPr>
          <w:rFonts w:ascii="Calibri" w:eastAsia="Calibri" w:hAnsi="Calibri" w:cs="Times New Roman"/>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lastRenderedPageBreak/>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29A2D020" w14:textId="76B4367B" w:rsidR="00E232C1" w:rsidRDefault="00E232C1" w:rsidP="00093580">
      <w:pPr>
        <w:pStyle w:val="Corpsdetexte"/>
        <w:tabs>
          <w:tab w:val="left" w:pos="3926"/>
        </w:tabs>
        <w:spacing w:before="37" w:line="276" w:lineRule="auto"/>
        <w:rPr>
          <w:rFonts w:ascii="Calibri" w:eastAsia="Calibri" w:hAnsi="Calibri" w:cs="Times New Roman"/>
          <w:sz w:val="22"/>
          <w:szCs w:val="22"/>
        </w:rPr>
      </w:pPr>
    </w:p>
    <w:p w14:paraId="66985601" w14:textId="77777777" w:rsidR="00CB6299" w:rsidRDefault="00CB6299" w:rsidP="00CB6299">
      <w:pPr>
        <w:tabs>
          <w:tab w:val="center" w:pos="4285"/>
        </w:tabs>
        <w:ind w:left="-15"/>
      </w:pPr>
      <w:r>
        <w:t xml:space="preserve">Toxicité aiguë (orale) </w:t>
      </w:r>
      <w:r>
        <w:tab/>
        <w:t xml:space="preserve">: Non classé </w:t>
      </w:r>
    </w:p>
    <w:p w14:paraId="7D2850C8" w14:textId="77777777" w:rsidR="00CB6299" w:rsidRDefault="00CB6299" w:rsidP="00CB6299">
      <w:pPr>
        <w:tabs>
          <w:tab w:val="center" w:pos="4285"/>
        </w:tabs>
        <w:ind w:left="-15"/>
      </w:pPr>
      <w:r>
        <w:t xml:space="preserve">Toxicité aiguë (cutanée) </w:t>
      </w:r>
      <w:r>
        <w:tab/>
        <w:t xml:space="preserve">: Non classé </w:t>
      </w:r>
    </w:p>
    <w:p w14:paraId="6BF9F5A2" w14:textId="0EB0027E" w:rsidR="00093580" w:rsidRDefault="00CB6299" w:rsidP="00CB6299">
      <w:pPr>
        <w:pStyle w:val="Corpsdetexte"/>
        <w:tabs>
          <w:tab w:val="left" w:pos="3926"/>
        </w:tabs>
        <w:spacing w:before="37" w:line="276" w:lineRule="auto"/>
        <w:rPr>
          <w:rFonts w:ascii="Calibri" w:eastAsia="Calibri" w:hAnsi="Calibri" w:cs="Times New Roman"/>
          <w:sz w:val="22"/>
          <w:szCs w:val="22"/>
        </w:rPr>
      </w:pPr>
      <w:r w:rsidRPr="00CB6299">
        <w:rPr>
          <w:rFonts w:ascii="Calibri" w:eastAsia="Calibri" w:hAnsi="Calibri" w:cs="Times New Roman"/>
          <w:sz w:val="22"/>
          <w:szCs w:val="22"/>
        </w:rPr>
        <w:t xml:space="preserve">Toxicité aiguë (Inhalation) </w:t>
      </w:r>
      <w:r w:rsidRPr="00CB6299">
        <w:rPr>
          <w:rFonts w:ascii="Calibri" w:eastAsia="Calibri" w:hAnsi="Calibri" w:cs="Times New Roman"/>
          <w:sz w:val="22"/>
          <w:szCs w:val="22"/>
        </w:rPr>
        <w:tab/>
        <w:t>: Non classé</w:t>
      </w:r>
    </w:p>
    <w:p w14:paraId="575890E4" w14:textId="77777777" w:rsidR="00CB6299" w:rsidRDefault="00CB6299" w:rsidP="00CB6299">
      <w:pPr>
        <w:pStyle w:val="Corpsdetexte"/>
        <w:tabs>
          <w:tab w:val="left" w:pos="3926"/>
        </w:tabs>
        <w:spacing w:before="37" w:line="276" w:lineRule="auto"/>
        <w:rPr>
          <w:rFonts w:ascii="Calibri" w:eastAsia="Calibri" w:hAnsi="Calibri" w:cs="Times New Roman"/>
          <w:sz w:val="22"/>
          <w:szCs w:val="22"/>
        </w:rPr>
      </w:pP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0B11FF" w14:paraId="72E49E60" w14:textId="77777777" w:rsidTr="00A32D4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93DF26" w14:textId="77777777" w:rsidR="000B11FF" w:rsidRDefault="000B11FF" w:rsidP="00A32D44">
            <w:pPr>
              <w:spacing w:line="259" w:lineRule="auto"/>
            </w:pPr>
            <w:r>
              <w:rPr>
                <w:b/>
                <w:color w:val="0070C0"/>
                <w:sz w:val="18"/>
              </w:rPr>
              <w:t xml:space="preserve">2,6,6-Trimethylbicyclo[3.1.1]hept-2-ene (80-56-8) </w:t>
            </w:r>
          </w:p>
        </w:tc>
      </w:tr>
      <w:tr w:rsidR="000B11FF" w14:paraId="14F7012B" w14:textId="77777777" w:rsidTr="00A32D44">
        <w:trPr>
          <w:trHeight w:val="366"/>
        </w:trPr>
        <w:tc>
          <w:tcPr>
            <w:tcW w:w="3969" w:type="dxa"/>
            <w:tcBorders>
              <w:top w:val="single" w:sz="4" w:space="0" w:color="0070C0"/>
              <w:left w:val="single" w:sz="4" w:space="0" w:color="0070C0"/>
              <w:bottom w:val="single" w:sz="4" w:space="0" w:color="0070C0"/>
              <w:right w:val="single" w:sz="4" w:space="0" w:color="0070C0"/>
            </w:tcBorders>
          </w:tcPr>
          <w:p w14:paraId="479CC688" w14:textId="77777777" w:rsidR="000B11FF" w:rsidRDefault="000B11FF" w:rsidP="00A32D44">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4791A68" w14:textId="77777777" w:rsidR="000B11FF" w:rsidRDefault="000B11FF" w:rsidP="00A32D44">
            <w:pPr>
              <w:spacing w:line="259" w:lineRule="auto"/>
              <w:ind w:left="1"/>
            </w:pPr>
            <w:r>
              <w:t xml:space="preserve">2100 mg/kg Source: International Uniform </w:t>
            </w:r>
            <w:proofErr w:type="spellStart"/>
            <w:r>
              <w:t>ChemicaL</w:t>
            </w:r>
            <w:proofErr w:type="spellEnd"/>
            <w:r>
              <w:t xml:space="preserve"> Information </w:t>
            </w:r>
            <w:proofErr w:type="spellStart"/>
            <w:r>
              <w:t>Database</w:t>
            </w:r>
            <w:proofErr w:type="spellEnd"/>
            <w:r>
              <w:t xml:space="preserve"> </w:t>
            </w:r>
          </w:p>
        </w:tc>
      </w:tr>
    </w:tbl>
    <w:p w14:paraId="2781CAEC" w14:textId="77777777" w:rsidR="002E53AF" w:rsidRDefault="002E53AF" w:rsidP="00CB6299">
      <w:pPr>
        <w:pStyle w:val="Corpsdetexte"/>
        <w:tabs>
          <w:tab w:val="left" w:pos="3926"/>
        </w:tabs>
        <w:spacing w:before="37" w:line="276" w:lineRule="auto"/>
        <w:rPr>
          <w:rFonts w:ascii="Calibri" w:eastAsia="Calibri" w:hAnsi="Calibri" w:cs="Times New Roman"/>
          <w:sz w:val="22"/>
          <w:szCs w:val="22"/>
        </w:rPr>
      </w:pPr>
    </w:p>
    <w:p w14:paraId="304B1161" w14:textId="77777777" w:rsidR="000B11FF" w:rsidRDefault="000B11FF" w:rsidP="00CB6299">
      <w:pPr>
        <w:pStyle w:val="Corpsdetexte"/>
        <w:tabs>
          <w:tab w:val="left" w:pos="3926"/>
        </w:tabs>
        <w:spacing w:before="37" w:line="276" w:lineRule="auto"/>
        <w:rPr>
          <w:rFonts w:ascii="Calibri" w:eastAsia="Calibri" w:hAnsi="Calibri" w:cs="Times New Roman"/>
          <w:sz w:val="22"/>
          <w:szCs w:val="22"/>
        </w:rPr>
      </w:pPr>
    </w:p>
    <w:p w14:paraId="30563406" w14:textId="77777777" w:rsidR="002E53AF" w:rsidRDefault="002E53AF" w:rsidP="00CB6299">
      <w:pPr>
        <w:pStyle w:val="Corpsdetexte"/>
        <w:tabs>
          <w:tab w:val="left" w:pos="3926"/>
        </w:tabs>
        <w:spacing w:before="37" w:line="276" w:lineRule="auto"/>
        <w:rPr>
          <w:rFonts w:ascii="Calibri" w:eastAsia="Calibri" w:hAnsi="Calibri" w:cs="Times New Roman"/>
          <w:sz w:val="22"/>
          <w:szCs w:val="22"/>
        </w:rPr>
      </w:pPr>
    </w:p>
    <w:tbl>
      <w:tblPr>
        <w:tblStyle w:val="TableGrid"/>
        <w:tblW w:w="10489" w:type="dxa"/>
        <w:tblInd w:w="11" w:type="dxa"/>
        <w:tblLook w:val="04A0" w:firstRow="1" w:lastRow="0" w:firstColumn="1" w:lastColumn="0" w:noHBand="0" w:noVBand="1"/>
      </w:tblPr>
      <w:tblGrid>
        <w:gridCol w:w="3969"/>
        <w:gridCol w:w="6520"/>
      </w:tblGrid>
      <w:tr w:rsidR="002F091D" w14:paraId="282CC6C5" w14:textId="77777777" w:rsidTr="009143BC">
        <w:trPr>
          <w:trHeight w:val="242"/>
        </w:trPr>
        <w:tc>
          <w:tcPr>
            <w:tcW w:w="3969" w:type="dxa"/>
          </w:tcPr>
          <w:p w14:paraId="03076359" w14:textId="77777777" w:rsidR="002F091D" w:rsidRDefault="002F091D" w:rsidP="004A4F8E">
            <w:pPr>
              <w:spacing w:line="259" w:lineRule="auto"/>
            </w:pPr>
            <w:r>
              <w:t xml:space="preserve">Corrosion cutanée/irritation cutanée </w:t>
            </w:r>
          </w:p>
          <w:p w14:paraId="4D7B06BA" w14:textId="77777777" w:rsidR="002F091D" w:rsidRDefault="002F091D" w:rsidP="004A4F8E">
            <w:pPr>
              <w:spacing w:line="259" w:lineRule="auto"/>
            </w:pPr>
            <w:r>
              <w:rPr>
                <w:sz w:val="2"/>
              </w:rPr>
              <w:t xml:space="preserve"> </w:t>
            </w:r>
          </w:p>
        </w:tc>
        <w:tc>
          <w:tcPr>
            <w:tcW w:w="6520" w:type="dxa"/>
          </w:tcPr>
          <w:p w14:paraId="03BDECA9" w14:textId="23019DDF" w:rsidR="002F091D" w:rsidRDefault="002F091D" w:rsidP="004A4F8E">
            <w:pPr>
              <w:spacing w:line="259" w:lineRule="auto"/>
            </w:pPr>
            <w:r>
              <w:t xml:space="preserve">: Non classé </w:t>
            </w:r>
          </w:p>
        </w:tc>
      </w:tr>
      <w:tr w:rsidR="002F091D" w14:paraId="7B52DEF1" w14:textId="77777777" w:rsidTr="009143BC">
        <w:trPr>
          <w:trHeight w:val="242"/>
        </w:trPr>
        <w:tc>
          <w:tcPr>
            <w:tcW w:w="3969" w:type="dxa"/>
          </w:tcPr>
          <w:p w14:paraId="58D22FF5" w14:textId="77777777" w:rsidR="002F091D" w:rsidRDefault="002F091D" w:rsidP="004A4F8E">
            <w:pPr>
              <w:spacing w:line="259" w:lineRule="auto"/>
            </w:pPr>
            <w:r>
              <w:t xml:space="preserve">Lésions oculaires graves/irritation oculaire </w:t>
            </w:r>
          </w:p>
          <w:p w14:paraId="1286B348" w14:textId="77777777" w:rsidR="002F091D" w:rsidRDefault="002F091D" w:rsidP="004A4F8E">
            <w:pPr>
              <w:spacing w:line="259" w:lineRule="auto"/>
            </w:pPr>
            <w:r>
              <w:rPr>
                <w:sz w:val="2"/>
              </w:rPr>
              <w:t xml:space="preserve"> </w:t>
            </w:r>
          </w:p>
        </w:tc>
        <w:tc>
          <w:tcPr>
            <w:tcW w:w="6520" w:type="dxa"/>
          </w:tcPr>
          <w:p w14:paraId="54988C80" w14:textId="7EA078AB" w:rsidR="002F091D" w:rsidRDefault="002F091D" w:rsidP="004A4F8E">
            <w:pPr>
              <w:spacing w:line="259" w:lineRule="auto"/>
              <w:jc w:val="both"/>
            </w:pPr>
            <w:r>
              <w:t xml:space="preserve">: Non classé </w:t>
            </w:r>
          </w:p>
        </w:tc>
      </w:tr>
      <w:tr w:rsidR="002F091D" w14:paraId="068FFBF1" w14:textId="77777777" w:rsidTr="009143BC">
        <w:trPr>
          <w:trHeight w:val="245"/>
        </w:trPr>
        <w:tc>
          <w:tcPr>
            <w:tcW w:w="3969" w:type="dxa"/>
          </w:tcPr>
          <w:p w14:paraId="353FB897" w14:textId="77777777" w:rsidR="002F091D" w:rsidRDefault="002F091D" w:rsidP="004A4F8E">
            <w:pPr>
              <w:spacing w:line="259" w:lineRule="auto"/>
            </w:pPr>
            <w:r>
              <w:t xml:space="preserve">Sensibilisation respiratoire ou cutanée </w:t>
            </w:r>
          </w:p>
          <w:p w14:paraId="68994834" w14:textId="77777777" w:rsidR="002F091D" w:rsidRDefault="002F091D" w:rsidP="004A4F8E">
            <w:pPr>
              <w:spacing w:line="259" w:lineRule="auto"/>
            </w:pPr>
            <w:r>
              <w:rPr>
                <w:sz w:val="2"/>
              </w:rPr>
              <w:t xml:space="preserve"> </w:t>
            </w:r>
          </w:p>
        </w:tc>
        <w:tc>
          <w:tcPr>
            <w:tcW w:w="6520" w:type="dxa"/>
          </w:tcPr>
          <w:p w14:paraId="5B73DA71" w14:textId="74FF3552" w:rsidR="002F091D" w:rsidRDefault="002F091D" w:rsidP="004A4F8E">
            <w:pPr>
              <w:spacing w:line="259" w:lineRule="auto"/>
            </w:pPr>
            <w:r>
              <w:t xml:space="preserve">: Non classé </w:t>
            </w:r>
          </w:p>
        </w:tc>
      </w:tr>
      <w:tr w:rsidR="002F091D" w14:paraId="751DA627" w14:textId="77777777" w:rsidTr="009143BC">
        <w:trPr>
          <w:trHeight w:val="242"/>
        </w:trPr>
        <w:tc>
          <w:tcPr>
            <w:tcW w:w="3969" w:type="dxa"/>
          </w:tcPr>
          <w:p w14:paraId="5CC10CB0" w14:textId="77777777" w:rsidR="002F091D" w:rsidRDefault="002F091D" w:rsidP="004A4F8E">
            <w:pPr>
              <w:spacing w:line="259" w:lineRule="auto"/>
            </w:pPr>
            <w:r>
              <w:t xml:space="preserve">Mutagénicité sur les cellules germinales </w:t>
            </w:r>
          </w:p>
          <w:p w14:paraId="7510A85B" w14:textId="77777777" w:rsidR="002F091D" w:rsidRDefault="002F091D" w:rsidP="004A4F8E">
            <w:pPr>
              <w:spacing w:line="259" w:lineRule="auto"/>
            </w:pPr>
            <w:r>
              <w:rPr>
                <w:sz w:val="2"/>
              </w:rPr>
              <w:t xml:space="preserve"> </w:t>
            </w:r>
          </w:p>
        </w:tc>
        <w:tc>
          <w:tcPr>
            <w:tcW w:w="6520" w:type="dxa"/>
          </w:tcPr>
          <w:p w14:paraId="1B17A4E5" w14:textId="77777777" w:rsidR="002F091D" w:rsidRDefault="002F091D" w:rsidP="004A4F8E">
            <w:pPr>
              <w:spacing w:line="259" w:lineRule="auto"/>
            </w:pPr>
            <w:r>
              <w:t xml:space="preserve">: Non classé </w:t>
            </w:r>
          </w:p>
        </w:tc>
      </w:tr>
      <w:tr w:rsidR="002F091D" w14:paraId="69A5F32D" w14:textId="77777777" w:rsidTr="009143BC">
        <w:trPr>
          <w:trHeight w:val="183"/>
        </w:trPr>
        <w:tc>
          <w:tcPr>
            <w:tcW w:w="3969" w:type="dxa"/>
          </w:tcPr>
          <w:p w14:paraId="0D7C1285" w14:textId="77777777" w:rsidR="002F091D" w:rsidRDefault="002F091D" w:rsidP="004A4F8E">
            <w:pPr>
              <w:spacing w:line="259" w:lineRule="auto"/>
            </w:pPr>
            <w:r>
              <w:t xml:space="preserve">Cancérogénicité </w:t>
            </w:r>
          </w:p>
        </w:tc>
        <w:tc>
          <w:tcPr>
            <w:tcW w:w="6520" w:type="dxa"/>
          </w:tcPr>
          <w:p w14:paraId="6BDF1E9A" w14:textId="77777777" w:rsidR="002F091D" w:rsidRDefault="002F091D" w:rsidP="004A4F8E">
            <w:pPr>
              <w:spacing w:line="259" w:lineRule="auto"/>
            </w:pPr>
            <w:r>
              <w:t xml:space="preserve">: Non classé </w:t>
            </w:r>
          </w:p>
        </w:tc>
      </w:tr>
    </w:tbl>
    <w:p w14:paraId="77B140E7" w14:textId="77777777" w:rsidR="0058485E" w:rsidRDefault="0058485E" w:rsidP="0058485E">
      <w:pPr>
        <w:tabs>
          <w:tab w:val="center" w:pos="4285"/>
        </w:tabs>
        <w:ind w:left="-15"/>
      </w:pPr>
      <w:r>
        <w:t xml:space="preserve">Toxicité pour la reproduction </w:t>
      </w:r>
      <w:r>
        <w:tab/>
        <w:t xml:space="preserve">: Non classé </w:t>
      </w:r>
    </w:p>
    <w:p w14:paraId="6613C89D" w14:textId="77777777" w:rsidR="0058485E" w:rsidRDefault="0058485E" w:rsidP="0058485E">
      <w:pPr>
        <w:spacing w:after="132" w:line="259" w:lineRule="auto"/>
      </w:pPr>
      <w:r>
        <w:rPr>
          <w:sz w:val="2"/>
        </w:rPr>
        <w:t xml:space="preserve"> </w:t>
      </w:r>
    </w:p>
    <w:p w14:paraId="2004220D" w14:textId="77777777" w:rsidR="0058485E" w:rsidRDefault="0058485E" w:rsidP="0058485E">
      <w:pPr>
        <w:tabs>
          <w:tab w:val="center" w:pos="4285"/>
        </w:tabs>
        <w:ind w:left="-15"/>
      </w:pPr>
      <w:r>
        <w:t xml:space="preserve">Toxicité spécifique pour certains organes cibles </w:t>
      </w:r>
      <w:r>
        <w:tab/>
        <w:t xml:space="preserve">: Non classé </w:t>
      </w:r>
    </w:p>
    <w:p w14:paraId="0A74577D" w14:textId="599B1F98" w:rsidR="00327F20" w:rsidRDefault="0058485E" w:rsidP="0058485E">
      <w:pPr>
        <w:pBdr>
          <w:bottom w:val="single" w:sz="4" w:space="1" w:color="000000"/>
        </w:pBdr>
        <w:spacing w:before="120" w:after="120" w:line="240" w:lineRule="auto"/>
      </w:pPr>
      <w:r>
        <w:t>(STOT) (exposition unique)</w:t>
      </w:r>
    </w:p>
    <w:p w14:paraId="6C945FC7" w14:textId="77777777" w:rsidR="00992339" w:rsidRDefault="00992339" w:rsidP="00992339">
      <w:pPr>
        <w:tabs>
          <w:tab w:val="center" w:pos="4285"/>
        </w:tabs>
        <w:ind w:left="-15"/>
      </w:pPr>
      <w:r>
        <w:t xml:space="preserve">Toxicité spécifique pour certains organes cibles </w:t>
      </w:r>
      <w:r>
        <w:tab/>
        <w:t xml:space="preserve">: Non classé </w:t>
      </w:r>
    </w:p>
    <w:p w14:paraId="28C66A53" w14:textId="132B4FA7" w:rsidR="0058485E" w:rsidRDefault="00992339" w:rsidP="00992339">
      <w:pPr>
        <w:pBdr>
          <w:bottom w:val="single" w:sz="4" w:space="1" w:color="000000"/>
        </w:pBdr>
        <w:spacing w:before="120" w:after="120" w:line="240" w:lineRule="auto"/>
      </w:pPr>
      <w:r>
        <w:t>(STOT) (exposition répétée)</w:t>
      </w:r>
    </w:p>
    <w:p w14:paraId="2DB8B32A" w14:textId="6C4A5B8B" w:rsidR="00992339" w:rsidRPr="0070303E" w:rsidRDefault="00263C3C" w:rsidP="00992339">
      <w:pPr>
        <w:pBdr>
          <w:bottom w:val="single" w:sz="4" w:space="1" w:color="000000"/>
        </w:pBdr>
        <w:spacing w:before="120" w:after="120" w:line="240" w:lineRule="auto"/>
        <w:rPr>
          <w:rFonts w:cs="Calibri"/>
          <w:b/>
          <w:bCs/>
          <w:sz w:val="24"/>
          <w:szCs w:val="24"/>
        </w:rPr>
      </w:pPr>
      <w:r>
        <w:t xml:space="preserve">Danger par aspiration </w:t>
      </w:r>
      <w:r>
        <w:tab/>
        <w:t>: Non classé</w:t>
      </w:r>
    </w:p>
    <w:p w14:paraId="4CD1B1F5" w14:textId="77777777" w:rsidR="007363BA" w:rsidRPr="0070303E" w:rsidRDefault="007363BA" w:rsidP="00B84FFD">
      <w:pPr>
        <w:pBdr>
          <w:bottom w:val="single" w:sz="4" w:space="1" w:color="000000"/>
        </w:pBdr>
        <w:spacing w:before="120" w:after="120" w:line="240" w:lineRule="auto"/>
        <w:rPr>
          <w:rFonts w:cs="Calibri"/>
          <w:b/>
          <w:bCs/>
          <w:sz w:val="24"/>
          <w:szCs w:val="24"/>
        </w:rPr>
      </w:pPr>
    </w:p>
    <w:p w14:paraId="14B4A2EE" w14:textId="10A95FED"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13CE6B52"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263C3C">
        <w:t>Non classé</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3AC00459"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263C3C">
        <w:t>Non classé</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489" w:type="dxa"/>
        <w:tblInd w:w="6" w:type="dxa"/>
        <w:tblCellMar>
          <w:top w:w="28" w:type="dxa"/>
          <w:left w:w="56" w:type="dxa"/>
          <w:right w:w="115" w:type="dxa"/>
        </w:tblCellMar>
        <w:tblLook w:val="04A0" w:firstRow="1" w:lastRow="0" w:firstColumn="1" w:lastColumn="0" w:noHBand="0" w:noVBand="1"/>
      </w:tblPr>
      <w:tblGrid>
        <w:gridCol w:w="10489"/>
      </w:tblGrid>
      <w:tr w:rsidR="00F56788" w:rsidRPr="004D3757" w14:paraId="42D10C88" w14:textId="77777777" w:rsidTr="00A32D44">
        <w:trPr>
          <w:trHeight w:val="326"/>
        </w:trPr>
        <w:tc>
          <w:tcPr>
            <w:tcW w:w="10489" w:type="dxa"/>
            <w:tcBorders>
              <w:top w:val="single" w:sz="4" w:space="0" w:color="0070C0"/>
              <w:left w:val="single" w:sz="4" w:space="0" w:color="0070C0"/>
              <w:bottom w:val="single" w:sz="4" w:space="0" w:color="0070C0"/>
              <w:right w:val="single" w:sz="4" w:space="0" w:color="0070C0"/>
            </w:tcBorders>
            <w:shd w:val="clear" w:color="auto" w:fill="BDD6EE"/>
          </w:tcPr>
          <w:p w14:paraId="21152249" w14:textId="77777777" w:rsidR="00F56788" w:rsidRPr="004D3757" w:rsidRDefault="00F56788" w:rsidP="00A32D44">
            <w:pPr>
              <w:spacing w:line="259" w:lineRule="auto"/>
              <w:rPr>
                <w:lang w:val="en-US"/>
              </w:rPr>
            </w:pPr>
            <w:r w:rsidRPr="004D3757">
              <w:rPr>
                <w:b/>
                <w:color w:val="0070C0"/>
                <w:sz w:val="18"/>
                <w:lang w:val="en-US"/>
              </w:rPr>
              <w:t xml:space="preserve">(3R-(3a,3ab,7b,8aa))-2,3,4,7,8,8a-Hexahydro-3,6,8,8-tetramethyl-1H-3a,7-methanoazulene (469-61-4) </w:t>
            </w:r>
          </w:p>
        </w:tc>
      </w:tr>
      <w:tr w:rsidR="00F56788" w14:paraId="250E7BE1" w14:textId="77777777" w:rsidTr="00A32D44">
        <w:trPr>
          <w:trHeight w:val="407"/>
        </w:trPr>
        <w:tc>
          <w:tcPr>
            <w:tcW w:w="10489" w:type="dxa"/>
            <w:tcBorders>
              <w:top w:val="single" w:sz="4" w:space="0" w:color="0070C0"/>
              <w:left w:val="single" w:sz="4" w:space="0" w:color="0070C0"/>
              <w:bottom w:val="double" w:sz="4" w:space="0" w:color="0070C0"/>
              <w:right w:val="single" w:sz="4" w:space="0" w:color="0070C0"/>
            </w:tcBorders>
          </w:tcPr>
          <w:p w14:paraId="68DA9838" w14:textId="77777777" w:rsidR="00F56788" w:rsidRDefault="00F56788" w:rsidP="00A32D44">
            <w:pPr>
              <w:tabs>
                <w:tab w:val="center" w:pos="4931"/>
              </w:tabs>
              <w:spacing w:line="259" w:lineRule="auto"/>
            </w:pPr>
            <w:r>
              <w:t xml:space="preserve">Persistance et dégradabilité </w:t>
            </w:r>
            <w:r>
              <w:tab/>
            </w:r>
            <w:r>
              <w:rPr>
                <w:rFonts w:cs="Calibri"/>
                <w:noProof/>
                <w:sz w:val="22"/>
              </w:rPr>
              <mc:AlternateContent>
                <mc:Choice Requires="wpg">
                  <w:drawing>
                    <wp:inline distT="0" distB="0" distL="0" distR="0" wp14:anchorId="37B330EB" wp14:editId="70687A77">
                      <wp:extent cx="6096" cy="213360"/>
                      <wp:effectExtent l="0" t="0" r="0" b="0"/>
                      <wp:docPr id="65929" name="Group 65929"/>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81314" name="Shape 8131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315" name="Shape 81315"/>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w:pict>
                    <v:group w14:anchorId="77EE09E9" id="Group 65929" o:spid="_x0000_s1026" style="width:.5pt;height:16.8pt;mso-position-horizontal-relative:char;mso-position-vertical-relative:line" coordsize="6096,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">
                      <v:shape id="Shape 81314" o:spid="_x0000_s1027" style="position:absolute;width:9144;height:3657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" path="m,l9144,r,36576l,36576,,e" fillcolor="#0070c0" stroked="f" strokeweight="0">
                        <v:stroke miterlimit="83231f" joinstyle="miter"/>
                        <v:path arrowok="t" textboxrect="0,0,9144,36576"/>
                      </v:shape>
                      <v:shape id="Shape 81315" o:spid="_x0000_s1028" style="position:absolute;top:36576;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" path="m,l9144,r,176784l,176784,,e" fillcolor="#0070c0" stroked="f" strokeweight="0">
                        <v:stroke miterlimit="83231f" joinstyle="miter"/>
                        <v:path arrowok="t" textboxrect="0,0,9144,176784"/>
                      </v:shape>
                      <w10:anchorlock/>
                    </v:group>
                  </w:pict>
                </mc:Fallback>
              </mc:AlternateContent>
            </w:r>
            <w:r>
              <w:t xml:space="preserve"> Non rapidement dégradable </w:t>
            </w:r>
          </w:p>
        </w:tc>
      </w:tr>
    </w:tbl>
    <w:p w14:paraId="6A22F32F" w14:textId="77777777" w:rsidR="00C757E3" w:rsidRDefault="00C757E3" w:rsidP="00B84FFD">
      <w:pPr>
        <w:pBdr>
          <w:bottom w:val="single" w:sz="4" w:space="1" w:color="000000"/>
        </w:pBdr>
        <w:spacing w:before="120" w:after="120" w:line="240" w:lineRule="auto"/>
        <w:rPr>
          <w:rFonts w:cs="Calibri"/>
          <w:b/>
          <w:bCs/>
          <w:sz w:val="24"/>
          <w:szCs w:val="24"/>
        </w:rPr>
      </w:pPr>
    </w:p>
    <w:tbl>
      <w:tblPr>
        <w:tblStyle w:val="TableGrid"/>
        <w:tblW w:w="10489" w:type="dxa"/>
        <w:tblInd w:w="6" w:type="dxa"/>
        <w:tblCellMar>
          <w:top w:w="45" w:type="dxa"/>
          <w:right w:w="18" w:type="dxa"/>
        </w:tblCellMar>
        <w:tblLook w:val="04A0" w:firstRow="1" w:lastRow="0" w:firstColumn="1" w:lastColumn="0" w:noHBand="0" w:noVBand="1"/>
      </w:tblPr>
      <w:tblGrid>
        <w:gridCol w:w="3969"/>
        <w:gridCol w:w="6520"/>
      </w:tblGrid>
      <w:tr w:rsidR="00554FCE" w14:paraId="0E895974" w14:textId="77777777" w:rsidTr="00A32D4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236292" w14:textId="77777777" w:rsidR="00554FCE" w:rsidRDefault="00554FCE" w:rsidP="00A32D44">
            <w:pPr>
              <w:spacing w:line="259" w:lineRule="auto"/>
              <w:ind w:left="56"/>
            </w:pPr>
            <w:r>
              <w:rPr>
                <w:b/>
                <w:color w:val="0070C0"/>
                <w:sz w:val="18"/>
              </w:rPr>
              <w:t xml:space="preserve">2,6,6-Trimethylbicyclo[3.1.1]hept-2-ene (80-56-8) </w:t>
            </w:r>
          </w:p>
        </w:tc>
      </w:tr>
      <w:tr w:rsidR="00554FCE" w14:paraId="33CDC85D" w14:textId="77777777" w:rsidTr="00A32D44">
        <w:trPr>
          <w:trHeight w:val="407"/>
        </w:trPr>
        <w:tc>
          <w:tcPr>
            <w:tcW w:w="3969" w:type="dxa"/>
            <w:tcBorders>
              <w:top w:val="single" w:sz="4" w:space="0" w:color="0070C0"/>
              <w:left w:val="single" w:sz="4" w:space="0" w:color="0070C0"/>
              <w:bottom w:val="double" w:sz="4" w:space="0" w:color="0070C0"/>
              <w:right w:val="single" w:sz="4" w:space="0" w:color="0070C0"/>
            </w:tcBorders>
          </w:tcPr>
          <w:p w14:paraId="46396585" w14:textId="77777777" w:rsidR="00554FCE" w:rsidRDefault="00554FCE" w:rsidP="00A32D44">
            <w:pPr>
              <w:spacing w:line="259" w:lineRule="auto"/>
              <w:ind w:left="56"/>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2F889DE" w14:textId="77777777" w:rsidR="00554FCE" w:rsidRDefault="00554FCE" w:rsidP="00A32D44">
            <w:pPr>
              <w:spacing w:line="259" w:lineRule="auto"/>
              <w:ind w:left="58"/>
            </w:pPr>
            <w:r>
              <w:t xml:space="preserve">Non rapidement dégradable </w:t>
            </w:r>
          </w:p>
        </w:tc>
      </w:tr>
    </w:tbl>
    <w:p w14:paraId="54069DC4" w14:textId="77777777" w:rsidR="00F56788" w:rsidRDefault="00F56788" w:rsidP="00B84FFD">
      <w:pPr>
        <w:pBdr>
          <w:bottom w:val="single" w:sz="4" w:space="1" w:color="000000"/>
        </w:pBdr>
        <w:spacing w:before="120" w:after="120" w:line="240" w:lineRule="auto"/>
        <w:rPr>
          <w:rFonts w:cs="Calibri"/>
          <w:b/>
          <w:bCs/>
          <w:sz w:val="24"/>
          <w:szCs w:val="24"/>
        </w:rPr>
      </w:pPr>
    </w:p>
    <w:p w14:paraId="32BF678B" w14:textId="77777777" w:rsidR="001F62FF" w:rsidRDefault="001F62FF" w:rsidP="00B84FFD">
      <w:pPr>
        <w:pBdr>
          <w:bottom w:val="single" w:sz="4" w:space="1" w:color="000000"/>
        </w:pBdr>
        <w:spacing w:before="120" w:after="120" w:line="240" w:lineRule="auto"/>
        <w:rPr>
          <w:rFonts w:cs="Calibri"/>
          <w:b/>
          <w:bCs/>
          <w:sz w:val="24"/>
          <w:szCs w:val="24"/>
        </w:rPr>
      </w:pPr>
    </w:p>
    <w:p w14:paraId="3E1F07B4" w14:textId="77271E39"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078F1F85" w14:textId="77777777" w:rsidR="005333FA" w:rsidRPr="005D5982" w:rsidRDefault="005333FA" w:rsidP="00967229">
      <w:pPr>
        <w:pStyle w:val="Corpsdetexte"/>
        <w:spacing w:before="6"/>
        <w:rPr>
          <w:sz w:val="17"/>
          <w:lang w:val="en-US"/>
        </w:rPr>
      </w:pPr>
    </w:p>
    <w:tbl>
      <w:tblPr>
        <w:tblStyle w:val="TableGrid"/>
        <w:tblW w:w="10489" w:type="dxa"/>
        <w:tblInd w:w="6" w:type="dxa"/>
        <w:tblCellMar>
          <w:top w:w="45" w:type="dxa"/>
          <w:left w:w="2" w:type="dxa"/>
          <w:right w:w="1" w:type="dxa"/>
        </w:tblCellMar>
        <w:tblLook w:val="04A0" w:firstRow="1" w:lastRow="0" w:firstColumn="1" w:lastColumn="0" w:noHBand="0" w:noVBand="1"/>
      </w:tblPr>
      <w:tblGrid>
        <w:gridCol w:w="3969"/>
        <w:gridCol w:w="6520"/>
      </w:tblGrid>
      <w:tr w:rsidR="00421A1A" w14:paraId="1BB02621" w14:textId="77777777" w:rsidTr="00A32D4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34ABD0" w14:textId="77777777" w:rsidR="00421A1A" w:rsidRDefault="00421A1A" w:rsidP="00A32D44">
            <w:pPr>
              <w:spacing w:line="259" w:lineRule="auto"/>
              <w:ind w:left="54"/>
            </w:pPr>
            <w:r>
              <w:rPr>
                <w:b/>
                <w:color w:val="0070C0"/>
                <w:sz w:val="18"/>
              </w:rPr>
              <w:t xml:space="preserve">2,6,6-Trimethylbicyclo[3.1.1]hept-2-ene (80-56-8) </w:t>
            </w:r>
          </w:p>
        </w:tc>
      </w:tr>
      <w:tr w:rsidR="00421A1A" w14:paraId="1DCE9E47" w14:textId="77777777" w:rsidTr="00A32D44">
        <w:trPr>
          <w:trHeight w:val="407"/>
        </w:trPr>
        <w:tc>
          <w:tcPr>
            <w:tcW w:w="3969" w:type="dxa"/>
            <w:tcBorders>
              <w:top w:val="single" w:sz="4" w:space="0" w:color="0070C0"/>
              <w:left w:val="single" w:sz="4" w:space="0" w:color="0070C0"/>
              <w:bottom w:val="double" w:sz="4" w:space="0" w:color="0070C0"/>
              <w:right w:val="single" w:sz="4" w:space="0" w:color="0070C0"/>
            </w:tcBorders>
          </w:tcPr>
          <w:p w14:paraId="4FB3721D" w14:textId="77777777" w:rsidR="00421A1A" w:rsidRDefault="00421A1A" w:rsidP="00A32D44">
            <w:pPr>
              <w:spacing w:line="259" w:lineRule="auto"/>
              <w:ind w:left="54"/>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22DB03B" w14:textId="77777777" w:rsidR="00421A1A" w:rsidRDefault="00421A1A" w:rsidP="00A32D44">
            <w:pPr>
              <w:spacing w:line="259" w:lineRule="auto"/>
              <w:ind w:left="55"/>
            </w:pPr>
            <w:r>
              <w:t xml:space="preserve">4,834 Source: International Uniform </w:t>
            </w:r>
            <w:proofErr w:type="spellStart"/>
            <w:r>
              <w:t>ChemicaL</w:t>
            </w:r>
            <w:proofErr w:type="spellEnd"/>
            <w:r>
              <w:t xml:space="preserve"> Information </w:t>
            </w:r>
            <w:proofErr w:type="spellStart"/>
            <w:r>
              <w:t>Database</w:t>
            </w:r>
            <w:proofErr w:type="spellEnd"/>
            <w:r>
              <w:t xml:space="preserve"> </w:t>
            </w:r>
          </w:p>
        </w:tc>
      </w:tr>
    </w:tbl>
    <w:p w14:paraId="0FD1D377" w14:textId="77777777" w:rsidR="002A2D4C" w:rsidRDefault="002A2D4C" w:rsidP="00967229">
      <w:pPr>
        <w:pStyle w:val="Corpsdetexte"/>
        <w:spacing w:before="6"/>
        <w:rPr>
          <w:rFonts w:ascii="Calibri" w:eastAsia="Calibri" w:hAnsi="Calibri" w:cs="Times New Roman"/>
          <w:sz w:val="22"/>
          <w:szCs w:val="22"/>
          <w:lang w:val="en-US"/>
        </w:rPr>
      </w:pPr>
    </w:p>
    <w:p w14:paraId="11A8F6E1" w14:textId="77777777" w:rsidR="00421A1A" w:rsidRPr="005D5982" w:rsidRDefault="00421A1A" w:rsidP="00967229">
      <w:pPr>
        <w:pStyle w:val="Corpsdetexte"/>
        <w:spacing w:before="6"/>
        <w:rPr>
          <w:rFonts w:ascii="Calibri" w:eastAsia="Calibri" w:hAnsi="Calibri" w:cs="Times New Roman"/>
          <w:sz w:val="22"/>
          <w:szCs w:val="22"/>
          <w:lang w:val="en-US"/>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08F15A6F" w14:textId="41BA52CD" w:rsidR="00F31713" w:rsidRPr="00AC7ACA" w:rsidRDefault="006838F0" w:rsidP="00B84FFD">
      <w:pPr>
        <w:spacing w:before="120" w:after="120" w:line="240" w:lineRule="auto"/>
      </w:pPr>
      <w:r>
        <w:rPr>
          <w:sz w:val="20"/>
        </w:rPr>
        <w:t>Pas</w:t>
      </w:r>
      <w:r>
        <w:rPr>
          <w:spacing w:val="-2"/>
          <w:sz w:val="20"/>
        </w:rPr>
        <w:t xml:space="preserve"> </w:t>
      </w:r>
      <w:r>
        <w:rPr>
          <w:sz w:val="20"/>
        </w:rPr>
        <w:t>de</w:t>
      </w:r>
      <w:r>
        <w:rPr>
          <w:spacing w:val="-1"/>
          <w:sz w:val="20"/>
        </w:rPr>
        <w:t xml:space="preserve"> </w:t>
      </w:r>
      <w:r>
        <w:rPr>
          <w:sz w:val="20"/>
        </w:rPr>
        <w:t>données</w:t>
      </w:r>
      <w:r>
        <w:rPr>
          <w:spacing w:val="-1"/>
          <w:sz w:val="20"/>
        </w:rPr>
        <w:t xml:space="preserve"> </w:t>
      </w:r>
      <w:r>
        <w:rPr>
          <w:sz w:val="20"/>
        </w:rPr>
        <w:t>à</w:t>
      </w:r>
      <w:r>
        <w:rPr>
          <w:spacing w:val="-2"/>
          <w:sz w:val="20"/>
        </w:rPr>
        <w:t xml:space="preserve"> </w:t>
      </w:r>
      <w:r>
        <w:rPr>
          <w:sz w:val="20"/>
        </w:rPr>
        <w:t>ce</w:t>
      </w:r>
      <w:r>
        <w:rPr>
          <w:spacing w:val="-1"/>
          <w:sz w:val="20"/>
        </w:rPr>
        <w:t xml:space="preserve"> </w:t>
      </w:r>
      <w:r>
        <w:rPr>
          <w:sz w:val="20"/>
        </w:rPr>
        <w:t>jour.</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lastRenderedPageBreak/>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3588D" w14:textId="77777777" w:rsidR="00DF407E" w:rsidRDefault="00DF407E">
      <w:pPr>
        <w:spacing w:after="0" w:line="240" w:lineRule="auto"/>
      </w:pPr>
      <w:r>
        <w:separator/>
      </w:r>
    </w:p>
  </w:endnote>
  <w:endnote w:type="continuationSeparator" w:id="0">
    <w:p w14:paraId="15906F06" w14:textId="77777777" w:rsidR="00DF407E" w:rsidRDefault="00DF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64F60" w14:textId="77777777" w:rsidR="00DF407E" w:rsidRDefault="00DF407E">
      <w:pPr>
        <w:spacing w:after="0" w:line="240" w:lineRule="auto"/>
      </w:pPr>
      <w:r>
        <w:separator/>
      </w:r>
    </w:p>
  </w:footnote>
  <w:footnote w:type="continuationSeparator" w:id="0">
    <w:p w14:paraId="6C7842ED" w14:textId="77777777" w:rsidR="00DF407E" w:rsidRDefault="00DF4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6314D590"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4B2A6E">
      <w:rPr>
        <w:sz w:val="18"/>
        <w:szCs w:val="18"/>
      </w:rPr>
      <w:t>04/11</w:t>
    </w:r>
    <w:r w:rsidR="00FB7DF1">
      <w:rPr>
        <w:sz w:val="18"/>
        <w:szCs w:val="18"/>
      </w:rPr>
      <w:t>/2024</w:t>
    </w:r>
    <w:r>
      <w:rPr>
        <w:sz w:val="18"/>
        <w:szCs w:val="18"/>
      </w:rPr>
      <w:t xml:space="preserve"> Date de révision : </w:t>
    </w:r>
    <w:r w:rsidR="004B2A6E">
      <w:rPr>
        <w:sz w:val="18"/>
        <w:szCs w:val="18"/>
      </w:rPr>
      <w:t>04/11</w:t>
    </w:r>
    <w:r w:rsidR="00FB7DF1">
      <w:rPr>
        <w:sz w:val="18"/>
        <w:szCs w:val="18"/>
      </w:rPr>
      <w:t>/2024</w:t>
    </w:r>
    <w:r>
      <w:rPr>
        <w:sz w:val="18"/>
        <w:szCs w:val="18"/>
      </w:rPr>
      <w:t xml:space="preserve"> Version : 1.0</w:t>
    </w:r>
  </w:p>
  <w:p w14:paraId="602D1847" w14:textId="0C281C52" w:rsidR="00F27584" w:rsidRPr="0002782B" w:rsidRDefault="0070303E" w:rsidP="0002782B">
    <w:pPr>
      <w:jc w:val="center"/>
      <w:rPr>
        <w:b/>
        <w:bCs/>
        <w:sz w:val="32"/>
        <w:szCs w:val="32"/>
      </w:rPr>
    </w:pPr>
    <w:r>
      <w:rPr>
        <w:rFonts w:cs="Arial"/>
        <w:b/>
        <w:sz w:val="32"/>
      </w:rPr>
      <w:t>SAPIN DE NOËL</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76F"/>
    <w:multiLevelType w:val="hybridMultilevel"/>
    <w:tmpl w:val="CBCCE9A8"/>
    <w:lvl w:ilvl="0" w:tplc="765C2990">
      <w:start w:val="1"/>
      <w:numFmt w:val="lowerLetter"/>
      <w:lvlText w:val="%1)"/>
      <w:lvlJc w:val="left"/>
      <w:pPr>
        <w:ind w:left="234" w:hanging="234"/>
        <w:jc w:val="left"/>
      </w:pPr>
      <w:rPr>
        <w:rFonts w:ascii="Arial MT" w:eastAsia="Arial MT" w:hAnsi="Arial MT" w:cs="Arial MT" w:hint="default"/>
        <w:spacing w:val="-1"/>
        <w:w w:val="100"/>
        <w:sz w:val="20"/>
        <w:szCs w:val="20"/>
        <w:lang w:val="fr-FR" w:eastAsia="en-US" w:bidi="ar-SA"/>
      </w:rPr>
    </w:lvl>
    <w:lvl w:ilvl="1" w:tplc="02A00744">
      <w:numFmt w:val="bullet"/>
      <w:lvlText w:val="•"/>
      <w:lvlJc w:val="left"/>
      <w:pPr>
        <w:ind w:left="1214" w:hanging="234"/>
      </w:pPr>
      <w:rPr>
        <w:rFonts w:hint="default"/>
        <w:lang w:val="fr-FR" w:eastAsia="en-US" w:bidi="ar-SA"/>
      </w:rPr>
    </w:lvl>
    <w:lvl w:ilvl="2" w:tplc="2BFEFACC">
      <w:numFmt w:val="bullet"/>
      <w:lvlText w:val="•"/>
      <w:lvlJc w:val="left"/>
      <w:pPr>
        <w:ind w:left="2193" w:hanging="234"/>
      </w:pPr>
      <w:rPr>
        <w:rFonts w:hint="default"/>
        <w:lang w:val="fr-FR" w:eastAsia="en-US" w:bidi="ar-SA"/>
      </w:rPr>
    </w:lvl>
    <w:lvl w:ilvl="3" w:tplc="EDA69DD6">
      <w:numFmt w:val="bullet"/>
      <w:lvlText w:val="•"/>
      <w:lvlJc w:val="left"/>
      <w:pPr>
        <w:ind w:left="3171" w:hanging="234"/>
      </w:pPr>
      <w:rPr>
        <w:rFonts w:hint="default"/>
        <w:lang w:val="fr-FR" w:eastAsia="en-US" w:bidi="ar-SA"/>
      </w:rPr>
    </w:lvl>
    <w:lvl w:ilvl="4" w:tplc="964A1FEA">
      <w:numFmt w:val="bullet"/>
      <w:lvlText w:val="•"/>
      <w:lvlJc w:val="left"/>
      <w:pPr>
        <w:ind w:left="4150" w:hanging="234"/>
      </w:pPr>
      <w:rPr>
        <w:rFonts w:hint="default"/>
        <w:lang w:val="fr-FR" w:eastAsia="en-US" w:bidi="ar-SA"/>
      </w:rPr>
    </w:lvl>
    <w:lvl w:ilvl="5" w:tplc="C9C6348E">
      <w:numFmt w:val="bullet"/>
      <w:lvlText w:val="•"/>
      <w:lvlJc w:val="left"/>
      <w:pPr>
        <w:ind w:left="5128" w:hanging="234"/>
      </w:pPr>
      <w:rPr>
        <w:rFonts w:hint="default"/>
        <w:lang w:val="fr-FR" w:eastAsia="en-US" w:bidi="ar-SA"/>
      </w:rPr>
    </w:lvl>
    <w:lvl w:ilvl="6" w:tplc="AD1A2D4E">
      <w:numFmt w:val="bullet"/>
      <w:lvlText w:val="•"/>
      <w:lvlJc w:val="left"/>
      <w:pPr>
        <w:ind w:left="6107" w:hanging="234"/>
      </w:pPr>
      <w:rPr>
        <w:rFonts w:hint="default"/>
        <w:lang w:val="fr-FR" w:eastAsia="en-US" w:bidi="ar-SA"/>
      </w:rPr>
    </w:lvl>
    <w:lvl w:ilvl="7" w:tplc="56B488FE">
      <w:numFmt w:val="bullet"/>
      <w:lvlText w:val="•"/>
      <w:lvlJc w:val="left"/>
      <w:pPr>
        <w:ind w:left="7085" w:hanging="234"/>
      </w:pPr>
      <w:rPr>
        <w:rFonts w:hint="default"/>
        <w:lang w:val="fr-FR" w:eastAsia="en-US" w:bidi="ar-SA"/>
      </w:rPr>
    </w:lvl>
    <w:lvl w:ilvl="8" w:tplc="E662D1A0">
      <w:numFmt w:val="bullet"/>
      <w:lvlText w:val="•"/>
      <w:lvlJc w:val="left"/>
      <w:pPr>
        <w:ind w:left="8064" w:hanging="234"/>
      </w:pPr>
      <w:rPr>
        <w:rFonts w:hint="default"/>
        <w:lang w:val="fr-FR" w:eastAsia="en-US" w:bidi="ar-SA"/>
      </w:rPr>
    </w:lvl>
  </w:abstractNum>
  <w:abstractNum w:abstractNumId="1"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2"/>
  </w:num>
  <w:num w:numId="2" w16cid:durableId="1661544513">
    <w:abstractNumId w:val="1"/>
  </w:num>
  <w:num w:numId="3" w16cid:durableId="147286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568E"/>
    <w:rsid w:val="00007FF0"/>
    <w:rsid w:val="00010431"/>
    <w:rsid w:val="00010434"/>
    <w:rsid w:val="00010C9D"/>
    <w:rsid w:val="00015D4D"/>
    <w:rsid w:val="00021885"/>
    <w:rsid w:val="00024310"/>
    <w:rsid w:val="0002615E"/>
    <w:rsid w:val="000267FC"/>
    <w:rsid w:val="0002782B"/>
    <w:rsid w:val="00031494"/>
    <w:rsid w:val="000325BE"/>
    <w:rsid w:val="00040292"/>
    <w:rsid w:val="00054517"/>
    <w:rsid w:val="00055D55"/>
    <w:rsid w:val="000563A0"/>
    <w:rsid w:val="00057EA2"/>
    <w:rsid w:val="00061FFC"/>
    <w:rsid w:val="000643EE"/>
    <w:rsid w:val="00071D70"/>
    <w:rsid w:val="0007352A"/>
    <w:rsid w:val="000846C4"/>
    <w:rsid w:val="00092F69"/>
    <w:rsid w:val="00093580"/>
    <w:rsid w:val="0009362C"/>
    <w:rsid w:val="00096723"/>
    <w:rsid w:val="000A0689"/>
    <w:rsid w:val="000A207C"/>
    <w:rsid w:val="000B0730"/>
    <w:rsid w:val="000B07A2"/>
    <w:rsid w:val="000B11FF"/>
    <w:rsid w:val="000B4680"/>
    <w:rsid w:val="000B7262"/>
    <w:rsid w:val="000B7409"/>
    <w:rsid w:val="000B7FF3"/>
    <w:rsid w:val="000C012F"/>
    <w:rsid w:val="000C307E"/>
    <w:rsid w:val="000D76E8"/>
    <w:rsid w:val="000E5675"/>
    <w:rsid w:val="000E7AD2"/>
    <w:rsid w:val="000F09C3"/>
    <w:rsid w:val="000F1129"/>
    <w:rsid w:val="000F12C1"/>
    <w:rsid w:val="000F2394"/>
    <w:rsid w:val="000F5AF8"/>
    <w:rsid w:val="000F6F15"/>
    <w:rsid w:val="00100ACA"/>
    <w:rsid w:val="00103CB8"/>
    <w:rsid w:val="00105CCC"/>
    <w:rsid w:val="001124DF"/>
    <w:rsid w:val="001128F8"/>
    <w:rsid w:val="00112F1D"/>
    <w:rsid w:val="00116085"/>
    <w:rsid w:val="001171E3"/>
    <w:rsid w:val="001177C5"/>
    <w:rsid w:val="0012078D"/>
    <w:rsid w:val="00120E8F"/>
    <w:rsid w:val="00127516"/>
    <w:rsid w:val="00141992"/>
    <w:rsid w:val="00143945"/>
    <w:rsid w:val="001447B7"/>
    <w:rsid w:val="00144B0B"/>
    <w:rsid w:val="00145064"/>
    <w:rsid w:val="001479A4"/>
    <w:rsid w:val="00161667"/>
    <w:rsid w:val="00161A24"/>
    <w:rsid w:val="00162E71"/>
    <w:rsid w:val="00167AB5"/>
    <w:rsid w:val="00180BBD"/>
    <w:rsid w:val="001830DE"/>
    <w:rsid w:val="0019048A"/>
    <w:rsid w:val="001908BD"/>
    <w:rsid w:val="00192214"/>
    <w:rsid w:val="00192FD0"/>
    <w:rsid w:val="00194C08"/>
    <w:rsid w:val="001953C8"/>
    <w:rsid w:val="00195713"/>
    <w:rsid w:val="001A1DD4"/>
    <w:rsid w:val="001A7607"/>
    <w:rsid w:val="001B0890"/>
    <w:rsid w:val="001B1176"/>
    <w:rsid w:val="001B1E64"/>
    <w:rsid w:val="001C2D46"/>
    <w:rsid w:val="001C368A"/>
    <w:rsid w:val="001C7F17"/>
    <w:rsid w:val="001D197A"/>
    <w:rsid w:val="001D43F1"/>
    <w:rsid w:val="001D5AFF"/>
    <w:rsid w:val="001D6889"/>
    <w:rsid w:val="001E428B"/>
    <w:rsid w:val="001E4E63"/>
    <w:rsid w:val="001E64DE"/>
    <w:rsid w:val="001F0956"/>
    <w:rsid w:val="001F2B86"/>
    <w:rsid w:val="001F2E0B"/>
    <w:rsid w:val="001F5AFA"/>
    <w:rsid w:val="001F5D75"/>
    <w:rsid w:val="001F62FF"/>
    <w:rsid w:val="001F699D"/>
    <w:rsid w:val="00206A53"/>
    <w:rsid w:val="002076E6"/>
    <w:rsid w:val="002079E2"/>
    <w:rsid w:val="00211FF6"/>
    <w:rsid w:val="00212005"/>
    <w:rsid w:val="0022015A"/>
    <w:rsid w:val="0022044D"/>
    <w:rsid w:val="00221EAB"/>
    <w:rsid w:val="00225DFF"/>
    <w:rsid w:val="00226EDD"/>
    <w:rsid w:val="002318ED"/>
    <w:rsid w:val="00232ED1"/>
    <w:rsid w:val="0023416E"/>
    <w:rsid w:val="00236021"/>
    <w:rsid w:val="00236455"/>
    <w:rsid w:val="00243BE9"/>
    <w:rsid w:val="00244D5A"/>
    <w:rsid w:val="00245443"/>
    <w:rsid w:val="00246B9F"/>
    <w:rsid w:val="0025175D"/>
    <w:rsid w:val="00254AA5"/>
    <w:rsid w:val="00263C3C"/>
    <w:rsid w:val="00264543"/>
    <w:rsid w:val="00265B98"/>
    <w:rsid w:val="002721FD"/>
    <w:rsid w:val="002752C5"/>
    <w:rsid w:val="00275558"/>
    <w:rsid w:val="002755C5"/>
    <w:rsid w:val="00277D6F"/>
    <w:rsid w:val="002812E1"/>
    <w:rsid w:val="002848D2"/>
    <w:rsid w:val="002852C0"/>
    <w:rsid w:val="00285C7D"/>
    <w:rsid w:val="00291CEF"/>
    <w:rsid w:val="002947C0"/>
    <w:rsid w:val="002967E6"/>
    <w:rsid w:val="002A0F7F"/>
    <w:rsid w:val="002A2D4C"/>
    <w:rsid w:val="002A313E"/>
    <w:rsid w:val="002A4D25"/>
    <w:rsid w:val="002A548A"/>
    <w:rsid w:val="002B1F82"/>
    <w:rsid w:val="002B2459"/>
    <w:rsid w:val="002B5ED6"/>
    <w:rsid w:val="002B6D91"/>
    <w:rsid w:val="002C11BB"/>
    <w:rsid w:val="002D0C54"/>
    <w:rsid w:val="002D7A64"/>
    <w:rsid w:val="002E2971"/>
    <w:rsid w:val="002E53AF"/>
    <w:rsid w:val="002F091D"/>
    <w:rsid w:val="002F2C74"/>
    <w:rsid w:val="002F3EEA"/>
    <w:rsid w:val="002F50BA"/>
    <w:rsid w:val="002F7376"/>
    <w:rsid w:val="003023D3"/>
    <w:rsid w:val="00303C9F"/>
    <w:rsid w:val="00303EBF"/>
    <w:rsid w:val="0030495A"/>
    <w:rsid w:val="00311152"/>
    <w:rsid w:val="003130D3"/>
    <w:rsid w:val="00313A00"/>
    <w:rsid w:val="00316227"/>
    <w:rsid w:val="00317940"/>
    <w:rsid w:val="0032026B"/>
    <w:rsid w:val="00320473"/>
    <w:rsid w:val="00326940"/>
    <w:rsid w:val="00327F20"/>
    <w:rsid w:val="00330F10"/>
    <w:rsid w:val="00336648"/>
    <w:rsid w:val="00336E2C"/>
    <w:rsid w:val="00337080"/>
    <w:rsid w:val="003415A6"/>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80926"/>
    <w:rsid w:val="00381949"/>
    <w:rsid w:val="00382744"/>
    <w:rsid w:val="003900D6"/>
    <w:rsid w:val="00390851"/>
    <w:rsid w:val="0039112E"/>
    <w:rsid w:val="00392498"/>
    <w:rsid w:val="00392ACB"/>
    <w:rsid w:val="003953C3"/>
    <w:rsid w:val="00397135"/>
    <w:rsid w:val="003A0B67"/>
    <w:rsid w:val="003A0E12"/>
    <w:rsid w:val="003A4715"/>
    <w:rsid w:val="003A7B8D"/>
    <w:rsid w:val="003B0F60"/>
    <w:rsid w:val="003B54D7"/>
    <w:rsid w:val="003B56FC"/>
    <w:rsid w:val="003C261F"/>
    <w:rsid w:val="003C28D3"/>
    <w:rsid w:val="003C368C"/>
    <w:rsid w:val="003D0C90"/>
    <w:rsid w:val="003D249B"/>
    <w:rsid w:val="003D7829"/>
    <w:rsid w:val="003E0AB7"/>
    <w:rsid w:val="003E1BFA"/>
    <w:rsid w:val="003E4706"/>
    <w:rsid w:val="003F10E2"/>
    <w:rsid w:val="003F1367"/>
    <w:rsid w:val="003F7E30"/>
    <w:rsid w:val="00401780"/>
    <w:rsid w:val="00406365"/>
    <w:rsid w:val="00410EF4"/>
    <w:rsid w:val="004124EC"/>
    <w:rsid w:val="00414194"/>
    <w:rsid w:val="00415DDE"/>
    <w:rsid w:val="004165D8"/>
    <w:rsid w:val="004168E2"/>
    <w:rsid w:val="00420004"/>
    <w:rsid w:val="00421A1A"/>
    <w:rsid w:val="004300B5"/>
    <w:rsid w:val="00432376"/>
    <w:rsid w:val="00433C38"/>
    <w:rsid w:val="00436F5E"/>
    <w:rsid w:val="00441A6B"/>
    <w:rsid w:val="00442767"/>
    <w:rsid w:val="004432AE"/>
    <w:rsid w:val="00443B50"/>
    <w:rsid w:val="00446BCF"/>
    <w:rsid w:val="00447FAE"/>
    <w:rsid w:val="00450133"/>
    <w:rsid w:val="00452D0C"/>
    <w:rsid w:val="00453860"/>
    <w:rsid w:val="0045587F"/>
    <w:rsid w:val="004558C8"/>
    <w:rsid w:val="004614FD"/>
    <w:rsid w:val="0046289E"/>
    <w:rsid w:val="004665D1"/>
    <w:rsid w:val="0046786C"/>
    <w:rsid w:val="00473B1D"/>
    <w:rsid w:val="00474B4A"/>
    <w:rsid w:val="00475B2F"/>
    <w:rsid w:val="0047634E"/>
    <w:rsid w:val="00482F68"/>
    <w:rsid w:val="004831DA"/>
    <w:rsid w:val="004A0024"/>
    <w:rsid w:val="004A0789"/>
    <w:rsid w:val="004A23FB"/>
    <w:rsid w:val="004A5679"/>
    <w:rsid w:val="004A67A3"/>
    <w:rsid w:val="004B2A6E"/>
    <w:rsid w:val="004B3B77"/>
    <w:rsid w:val="004B4971"/>
    <w:rsid w:val="004B4D2F"/>
    <w:rsid w:val="004B5557"/>
    <w:rsid w:val="004C0393"/>
    <w:rsid w:val="004C1A04"/>
    <w:rsid w:val="004D2A33"/>
    <w:rsid w:val="004D5415"/>
    <w:rsid w:val="004D610B"/>
    <w:rsid w:val="004E15C5"/>
    <w:rsid w:val="004F2B67"/>
    <w:rsid w:val="004F3675"/>
    <w:rsid w:val="004F520D"/>
    <w:rsid w:val="004F5837"/>
    <w:rsid w:val="004F724F"/>
    <w:rsid w:val="004F7F05"/>
    <w:rsid w:val="00500C76"/>
    <w:rsid w:val="00512042"/>
    <w:rsid w:val="0051547B"/>
    <w:rsid w:val="005165EC"/>
    <w:rsid w:val="0052181C"/>
    <w:rsid w:val="005231A3"/>
    <w:rsid w:val="005252C2"/>
    <w:rsid w:val="00525D6E"/>
    <w:rsid w:val="00526829"/>
    <w:rsid w:val="00526DEC"/>
    <w:rsid w:val="00527E22"/>
    <w:rsid w:val="005333FA"/>
    <w:rsid w:val="00533C11"/>
    <w:rsid w:val="00536B2D"/>
    <w:rsid w:val="00541CB8"/>
    <w:rsid w:val="005443A5"/>
    <w:rsid w:val="00544CDD"/>
    <w:rsid w:val="00545C98"/>
    <w:rsid w:val="0055195E"/>
    <w:rsid w:val="005520C5"/>
    <w:rsid w:val="00553811"/>
    <w:rsid w:val="00554FCE"/>
    <w:rsid w:val="00563E9C"/>
    <w:rsid w:val="0056759A"/>
    <w:rsid w:val="00567FD7"/>
    <w:rsid w:val="005727AE"/>
    <w:rsid w:val="00572F7B"/>
    <w:rsid w:val="0058485E"/>
    <w:rsid w:val="0058532E"/>
    <w:rsid w:val="00594E04"/>
    <w:rsid w:val="005A0B23"/>
    <w:rsid w:val="005A15E0"/>
    <w:rsid w:val="005A259B"/>
    <w:rsid w:val="005A4F9C"/>
    <w:rsid w:val="005A509F"/>
    <w:rsid w:val="005A5FE5"/>
    <w:rsid w:val="005A6D83"/>
    <w:rsid w:val="005A72F1"/>
    <w:rsid w:val="005B01BD"/>
    <w:rsid w:val="005B0911"/>
    <w:rsid w:val="005B46F6"/>
    <w:rsid w:val="005B6E55"/>
    <w:rsid w:val="005C041A"/>
    <w:rsid w:val="005C0F0A"/>
    <w:rsid w:val="005C385C"/>
    <w:rsid w:val="005C4394"/>
    <w:rsid w:val="005D5982"/>
    <w:rsid w:val="005E1AAD"/>
    <w:rsid w:val="005E5BDF"/>
    <w:rsid w:val="005E5F12"/>
    <w:rsid w:val="005F3E29"/>
    <w:rsid w:val="005F652A"/>
    <w:rsid w:val="005F7D97"/>
    <w:rsid w:val="006142FC"/>
    <w:rsid w:val="00617275"/>
    <w:rsid w:val="00621620"/>
    <w:rsid w:val="006248DD"/>
    <w:rsid w:val="00627B5B"/>
    <w:rsid w:val="006307BB"/>
    <w:rsid w:val="006339DA"/>
    <w:rsid w:val="00640680"/>
    <w:rsid w:val="00640CB0"/>
    <w:rsid w:val="006437B5"/>
    <w:rsid w:val="0064388C"/>
    <w:rsid w:val="006444D5"/>
    <w:rsid w:val="006457AA"/>
    <w:rsid w:val="00645FEC"/>
    <w:rsid w:val="006472E9"/>
    <w:rsid w:val="00650769"/>
    <w:rsid w:val="00653F4C"/>
    <w:rsid w:val="006605D1"/>
    <w:rsid w:val="00660696"/>
    <w:rsid w:val="00665F07"/>
    <w:rsid w:val="00667D8A"/>
    <w:rsid w:val="006714D0"/>
    <w:rsid w:val="006757B4"/>
    <w:rsid w:val="0068110C"/>
    <w:rsid w:val="006838F0"/>
    <w:rsid w:val="0068526B"/>
    <w:rsid w:val="00687121"/>
    <w:rsid w:val="0068748D"/>
    <w:rsid w:val="00691D8D"/>
    <w:rsid w:val="00696D90"/>
    <w:rsid w:val="006A09DF"/>
    <w:rsid w:val="006A0A03"/>
    <w:rsid w:val="006A343D"/>
    <w:rsid w:val="006A4538"/>
    <w:rsid w:val="006A62B4"/>
    <w:rsid w:val="006A72A9"/>
    <w:rsid w:val="006A7C3A"/>
    <w:rsid w:val="006B3001"/>
    <w:rsid w:val="006B5868"/>
    <w:rsid w:val="006B75E8"/>
    <w:rsid w:val="006B7F5A"/>
    <w:rsid w:val="006C1A54"/>
    <w:rsid w:val="006C22C4"/>
    <w:rsid w:val="006C3E2A"/>
    <w:rsid w:val="006C4623"/>
    <w:rsid w:val="006C71A8"/>
    <w:rsid w:val="006D07AB"/>
    <w:rsid w:val="006D12A4"/>
    <w:rsid w:val="006D173F"/>
    <w:rsid w:val="006D3646"/>
    <w:rsid w:val="006D5183"/>
    <w:rsid w:val="006D7C00"/>
    <w:rsid w:val="006E2049"/>
    <w:rsid w:val="006E2543"/>
    <w:rsid w:val="006E3F73"/>
    <w:rsid w:val="006E4BE4"/>
    <w:rsid w:val="006F33D1"/>
    <w:rsid w:val="006F50A1"/>
    <w:rsid w:val="006F50C0"/>
    <w:rsid w:val="006F528C"/>
    <w:rsid w:val="006F6CF0"/>
    <w:rsid w:val="006F7CBB"/>
    <w:rsid w:val="00700489"/>
    <w:rsid w:val="007008F7"/>
    <w:rsid w:val="007022F5"/>
    <w:rsid w:val="0070303E"/>
    <w:rsid w:val="00705E5A"/>
    <w:rsid w:val="0071365B"/>
    <w:rsid w:val="00714389"/>
    <w:rsid w:val="007154F4"/>
    <w:rsid w:val="00715EEB"/>
    <w:rsid w:val="00725CA4"/>
    <w:rsid w:val="00727AD5"/>
    <w:rsid w:val="007332C4"/>
    <w:rsid w:val="007363BA"/>
    <w:rsid w:val="007506E7"/>
    <w:rsid w:val="0075163B"/>
    <w:rsid w:val="007521C6"/>
    <w:rsid w:val="00757795"/>
    <w:rsid w:val="00757D38"/>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14B"/>
    <w:rsid w:val="00796317"/>
    <w:rsid w:val="00796AA4"/>
    <w:rsid w:val="00796FC2"/>
    <w:rsid w:val="007A2B3A"/>
    <w:rsid w:val="007A5B52"/>
    <w:rsid w:val="007A6E55"/>
    <w:rsid w:val="007B054E"/>
    <w:rsid w:val="007B0B12"/>
    <w:rsid w:val="007B1713"/>
    <w:rsid w:val="007B474D"/>
    <w:rsid w:val="007C18C7"/>
    <w:rsid w:val="007D08F7"/>
    <w:rsid w:val="007D5382"/>
    <w:rsid w:val="007D7EBA"/>
    <w:rsid w:val="007E0F36"/>
    <w:rsid w:val="007E1499"/>
    <w:rsid w:val="007E36D3"/>
    <w:rsid w:val="007E4E76"/>
    <w:rsid w:val="007E6E3E"/>
    <w:rsid w:val="007F15FE"/>
    <w:rsid w:val="007F2BB1"/>
    <w:rsid w:val="007F31D1"/>
    <w:rsid w:val="007F362E"/>
    <w:rsid w:val="008026E1"/>
    <w:rsid w:val="0080633D"/>
    <w:rsid w:val="00807E97"/>
    <w:rsid w:val="008118EA"/>
    <w:rsid w:val="00817DBE"/>
    <w:rsid w:val="00817F9B"/>
    <w:rsid w:val="0082065C"/>
    <w:rsid w:val="00821DD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12FC"/>
    <w:rsid w:val="00885360"/>
    <w:rsid w:val="0088711D"/>
    <w:rsid w:val="00887B61"/>
    <w:rsid w:val="0089092C"/>
    <w:rsid w:val="00890C0A"/>
    <w:rsid w:val="008A2FDE"/>
    <w:rsid w:val="008A48A9"/>
    <w:rsid w:val="008A6639"/>
    <w:rsid w:val="008A6BD3"/>
    <w:rsid w:val="008A793A"/>
    <w:rsid w:val="008B46A5"/>
    <w:rsid w:val="008B6061"/>
    <w:rsid w:val="008C2668"/>
    <w:rsid w:val="008C2ABB"/>
    <w:rsid w:val="008C3546"/>
    <w:rsid w:val="008C3D73"/>
    <w:rsid w:val="008C3DE5"/>
    <w:rsid w:val="008C53A6"/>
    <w:rsid w:val="008C62F8"/>
    <w:rsid w:val="008D08AA"/>
    <w:rsid w:val="008D090E"/>
    <w:rsid w:val="008D75D8"/>
    <w:rsid w:val="008E14CB"/>
    <w:rsid w:val="008E1770"/>
    <w:rsid w:val="008E34B6"/>
    <w:rsid w:val="008E5426"/>
    <w:rsid w:val="008E666F"/>
    <w:rsid w:val="008E79D3"/>
    <w:rsid w:val="00900E90"/>
    <w:rsid w:val="00904281"/>
    <w:rsid w:val="00910D65"/>
    <w:rsid w:val="00914024"/>
    <w:rsid w:val="009143BC"/>
    <w:rsid w:val="00914B76"/>
    <w:rsid w:val="00915118"/>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4F3"/>
    <w:rsid w:val="00970F9F"/>
    <w:rsid w:val="00974B91"/>
    <w:rsid w:val="009751CB"/>
    <w:rsid w:val="00980DBA"/>
    <w:rsid w:val="00981A1C"/>
    <w:rsid w:val="00983328"/>
    <w:rsid w:val="00984027"/>
    <w:rsid w:val="00984D37"/>
    <w:rsid w:val="00992339"/>
    <w:rsid w:val="0099660B"/>
    <w:rsid w:val="009A1E12"/>
    <w:rsid w:val="009B0DA0"/>
    <w:rsid w:val="009B33F5"/>
    <w:rsid w:val="009B5901"/>
    <w:rsid w:val="009B5AC1"/>
    <w:rsid w:val="009B7370"/>
    <w:rsid w:val="009C0637"/>
    <w:rsid w:val="009C22CB"/>
    <w:rsid w:val="009D11B2"/>
    <w:rsid w:val="009D4B50"/>
    <w:rsid w:val="009D4F0A"/>
    <w:rsid w:val="009D67C2"/>
    <w:rsid w:val="009D6BD2"/>
    <w:rsid w:val="009D71E7"/>
    <w:rsid w:val="009E3307"/>
    <w:rsid w:val="009E6A03"/>
    <w:rsid w:val="009F0919"/>
    <w:rsid w:val="009F12BD"/>
    <w:rsid w:val="009F5751"/>
    <w:rsid w:val="009F5CE3"/>
    <w:rsid w:val="009F7EB7"/>
    <w:rsid w:val="00A00D5C"/>
    <w:rsid w:val="00A01456"/>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839E1"/>
    <w:rsid w:val="00A93866"/>
    <w:rsid w:val="00A94231"/>
    <w:rsid w:val="00A96EA9"/>
    <w:rsid w:val="00AA4112"/>
    <w:rsid w:val="00AA6FC1"/>
    <w:rsid w:val="00AB4F5B"/>
    <w:rsid w:val="00AB662E"/>
    <w:rsid w:val="00AC0C7D"/>
    <w:rsid w:val="00AC19AE"/>
    <w:rsid w:val="00AC321F"/>
    <w:rsid w:val="00AC3CD9"/>
    <w:rsid w:val="00AC7ACA"/>
    <w:rsid w:val="00AD158B"/>
    <w:rsid w:val="00AD55F7"/>
    <w:rsid w:val="00AD586D"/>
    <w:rsid w:val="00AD73C2"/>
    <w:rsid w:val="00AD73CF"/>
    <w:rsid w:val="00AE2081"/>
    <w:rsid w:val="00AE6620"/>
    <w:rsid w:val="00AF36E1"/>
    <w:rsid w:val="00B017B0"/>
    <w:rsid w:val="00B044D6"/>
    <w:rsid w:val="00B06A02"/>
    <w:rsid w:val="00B075AB"/>
    <w:rsid w:val="00B1075C"/>
    <w:rsid w:val="00B11537"/>
    <w:rsid w:val="00B145A3"/>
    <w:rsid w:val="00B15913"/>
    <w:rsid w:val="00B219DF"/>
    <w:rsid w:val="00B22A89"/>
    <w:rsid w:val="00B25055"/>
    <w:rsid w:val="00B25289"/>
    <w:rsid w:val="00B25E16"/>
    <w:rsid w:val="00B34505"/>
    <w:rsid w:val="00B4367B"/>
    <w:rsid w:val="00B43BE8"/>
    <w:rsid w:val="00B43F42"/>
    <w:rsid w:val="00B44035"/>
    <w:rsid w:val="00B45857"/>
    <w:rsid w:val="00B50C66"/>
    <w:rsid w:val="00B51757"/>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3DDE"/>
    <w:rsid w:val="00BA4127"/>
    <w:rsid w:val="00BA6573"/>
    <w:rsid w:val="00BA6DE3"/>
    <w:rsid w:val="00BA7BF1"/>
    <w:rsid w:val="00BB0483"/>
    <w:rsid w:val="00BB5267"/>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42E7"/>
    <w:rsid w:val="00BF23FC"/>
    <w:rsid w:val="00BF35A1"/>
    <w:rsid w:val="00BF4899"/>
    <w:rsid w:val="00BF5F48"/>
    <w:rsid w:val="00BF61C1"/>
    <w:rsid w:val="00BF6363"/>
    <w:rsid w:val="00C0059E"/>
    <w:rsid w:val="00C00982"/>
    <w:rsid w:val="00C122BF"/>
    <w:rsid w:val="00C12900"/>
    <w:rsid w:val="00C135E8"/>
    <w:rsid w:val="00C14CA8"/>
    <w:rsid w:val="00C16D83"/>
    <w:rsid w:val="00C170F9"/>
    <w:rsid w:val="00C20B49"/>
    <w:rsid w:val="00C22D1B"/>
    <w:rsid w:val="00C246FE"/>
    <w:rsid w:val="00C24DB4"/>
    <w:rsid w:val="00C25613"/>
    <w:rsid w:val="00C27865"/>
    <w:rsid w:val="00C27E5E"/>
    <w:rsid w:val="00C31F63"/>
    <w:rsid w:val="00C3395F"/>
    <w:rsid w:val="00C366E7"/>
    <w:rsid w:val="00C36DB0"/>
    <w:rsid w:val="00C410B2"/>
    <w:rsid w:val="00C50B3B"/>
    <w:rsid w:val="00C5429C"/>
    <w:rsid w:val="00C62C76"/>
    <w:rsid w:val="00C62F33"/>
    <w:rsid w:val="00C6409F"/>
    <w:rsid w:val="00C66BC4"/>
    <w:rsid w:val="00C757E3"/>
    <w:rsid w:val="00C84480"/>
    <w:rsid w:val="00C90548"/>
    <w:rsid w:val="00C9262D"/>
    <w:rsid w:val="00C9344E"/>
    <w:rsid w:val="00C937F6"/>
    <w:rsid w:val="00C95A3D"/>
    <w:rsid w:val="00CA4392"/>
    <w:rsid w:val="00CA591E"/>
    <w:rsid w:val="00CB15DA"/>
    <w:rsid w:val="00CB4237"/>
    <w:rsid w:val="00CB48FA"/>
    <w:rsid w:val="00CB6299"/>
    <w:rsid w:val="00CC37DD"/>
    <w:rsid w:val="00CC3BE6"/>
    <w:rsid w:val="00CC3F71"/>
    <w:rsid w:val="00CC4420"/>
    <w:rsid w:val="00CC571C"/>
    <w:rsid w:val="00CC67F3"/>
    <w:rsid w:val="00CC733D"/>
    <w:rsid w:val="00CD1251"/>
    <w:rsid w:val="00CE3EA0"/>
    <w:rsid w:val="00CE595B"/>
    <w:rsid w:val="00CE5CD1"/>
    <w:rsid w:val="00CE68D6"/>
    <w:rsid w:val="00CF07BA"/>
    <w:rsid w:val="00CF20DC"/>
    <w:rsid w:val="00CF398A"/>
    <w:rsid w:val="00CF5B84"/>
    <w:rsid w:val="00D011A0"/>
    <w:rsid w:val="00D0417D"/>
    <w:rsid w:val="00D05CD8"/>
    <w:rsid w:val="00D12C4D"/>
    <w:rsid w:val="00D200CD"/>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69DB"/>
    <w:rsid w:val="00D8257D"/>
    <w:rsid w:val="00D842EF"/>
    <w:rsid w:val="00D94842"/>
    <w:rsid w:val="00DA07A8"/>
    <w:rsid w:val="00DA168C"/>
    <w:rsid w:val="00DA2C7F"/>
    <w:rsid w:val="00DA37C9"/>
    <w:rsid w:val="00DA6E18"/>
    <w:rsid w:val="00DB0EC1"/>
    <w:rsid w:val="00DB0F1B"/>
    <w:rsid w:val="00DB1895"/>
    <w:rsid w:val="00DB1D33"/>
    <w:rsid w:val="00DB2FAA"/>
    <w:rsid w:val="00DC205A"/>
    <w:rsid w:val="00DC6F2E"/>
    <w:rsid w:val="00DC7A69"/>
    <w:rsid w:val="00DD2165"/>
    <w:rsid w:val="00DD5114"/>
    <w:rsid w:val="00DD6AF1"/>
    <w:rsid w:val="00DD7191"/>
    <w:rsid w:val="00DE04B3"/>
    <w:rsid w:val="00DF407E"/>
    <w:rsid w:val="00DF4721"/>
    <w:rsid w:val="00DF788F"/>
    <w:rsid w:val="00E012D5"/>
    <w:rsid w:val="00E06FB3"/>
    <w:rsid w:val="00E14F4C"/>
    <w:rsid w:val="00E1787A"/>
    <w:rsid w:val="00E22D43"/>
    <w:rsid w:val="00E232C1"/>
    <w:rsid w:val="00E43056"/>
    <w:rsid w:val="00E4541F"/>
    <w:rsid w:val="00E53EBD"/>
    <w:rsid w:val="00E5482F"/>
    <w:rsid w:val="00E5485D"/>
    <w:rsid w:val="00E556C7"/>
    <w:rsid w:val="00E5579C"/>
    <w:rsid w:val="00E56B04"/>
    <w:rsid w:val="00E7097D"/>
    <w:rsid w:val="00E73532"/>
    <w:rsid w:val="00E741AB"/>
    <w:rsid w:val="00E75E92"/>
    <w:rsid w:val="00E77728"/>
    <w:rsid w:val="00E80D08"/>
    <w:rsid w:val="00E81576"/>
    <w:rsid w:val="00E82511"/>
    <w:rsid w:val="00E832B0"/>
    <w:rsid w:val="00E83C96"/>
    <w:rsid w:val="00E8474D"/>
    <w:rsid w:val="00E94156"/>
    <w:rsid w:val="00EA098A"/>
    <w:rsid w:val="00EA0E4A"/>
    <w:rsid w:val="00EA28E6"/>
    <w:rsid w:val="00EA4669"/>
    <w:rsid w:val="00EA76AA"/>
    <w:rsid w:val="00EA7804"/>
    <w:rsid w:val="00EB0528"/>
    <w:rsid w:val="00EB0668"/>
    <w:rsid w:val="00EB2E33"/>
    <w:rsid w:val="00EC24DE"/>
    <w:rsid w:val="00EC2B39"/>
    <w:rsid w:val="00ED19E6"/>
    <w:rsid w:val="00ED32F3"/>
    <w:rsid w:val="00EE036A"/>
    <w:rsid w:val="00EE62A6"/>
    <w:rsid w:val="00EE7CC5"/>
    <w:rsid w:val="00EF3BA7"/>
    <w:rsid w:val="00EF3C01"/>
    <w:rsid w:val="00EF6720"/>
    <w:rsid w:val="00EF74BD"/>
    <w:rsid w:val="00F00134"/>
    <w:rsid w:val="00F0143D"/>
    <w:rsid w:val="00F019F9"/>
    <w:rsid w:val="00F0526D"/>
    <w:rsid w:val="00F12229"/>
    <w:rsid w:val="00F15FF3"/>
    <w:rsid w:val="00F21A96"/>
    <w:rsid w:val="00F2242B"/>
    <w:rsid w:val="00F259EB"/>
    <w:rsid w:val="00F267D3"/>
    <w:rsid w:val="00F27584"/>
    <w:rsid w:val="00F31713"/>
    <w:rsid w:val="00F32420"/>
    <w:rsid w:val="00F37BA4"/>
    <w:rsid w:val="00F41786"/>
    <w:rsid w:val="00F42DF6"/>
    <w:rsid w:val="00F517B3"/>
    <w:rsid w:val="00F5508F"/>
    <w:rsid w:val="00F56788"/>
    <w:rsid w:val="00F905FF"/>
    <w:rsid w:val="00F92D73"/>
    <w:rsid w:val="00FA5C90"/>
    <w:rsid w:val="00FB18EA"/>
    <w:rsid w:val="00FB45BC"/>
    <w:rsid w:val="00FB4FA0"/>
    <w:rsid w:val="00FB7DF1"/>
    <w:rsid w:val="00FC0457"/>
    <w:rsid w:val="00FC2BEB"/>
    <w:rsid w:val="00FC5E0E"/>
    <w:rsid w:val="00FC6CF9"/>
    <w:rsid w:val="00FC70EC"/>
    <w:rsid w:val="00FC7633"/>
    <w:rsid w:val="00FD14EE"/>
    <w:rsid w:val="00FD23C5"/>
    <w:rsid w:val="00FD5785"/>
    <w:rsid w:val="00FD7BBB"/>
    <w:rsid w:val="00FE2DB9"/>
    <w:rsid w:val="00FE6176"/>
    <w:rsid w:val="00FF0106"/>
    <w:rsid w:val="00FF0F7E"/>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uiPriority w:val="1"/>
    <w:qFormat/>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1915</Words>
  <Characters>10533</Characters>
  <Application>Microsoft Office Word</Application>
  <DocSecurity>0</DocSecurity>
  <Lines>87</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867</cp:revision>
  <dcterms:created xsi:type="dcterms:W3CDTF">2023-08-01T09:04:00Z</dcterms:created>
  <dcterms:modified xsi:type="dcterms:W3CDTF">2024-11-04T13:13:00Z</dcterms:modified>
</cp:coreProperties>
</file>